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he_relationship_between_legitimacy,_rep"/>
    <w:bookmarkEnd w:id="0"/>
    <w:p w14:paraId="16DB449D" w14:textId="29C9B837" w:rsidR="00524900" w:rsidRPr="004D2F64" w:rsidRDefault="005D590D" w:rsidP="005D590D">
      <w:pPr>
        <w:spacing w:before="90"/>
        <w:ind w:left="345" w:right="171"/>
        <w:jc w:val="center"/>
        <w:rPr>
          <w:b/>
          <w:bCs/>
          <w:sz w:val="24"/>
          <w:szCs w:val="24"/>
        </w:rPr>
      </w:pPr>
      <w:r>
        <w:rPr>
          <w:noProof/>
          <w:color w:val="244061" w:themeColor="accent1" w:themeShade="80"/>
        </w:rPr>
        <mc:AlternateContent>
          <mc:Choice Requires="wps">
            <w:drawing>
              <wp:anchor distT="0" distB="0" distL="114300" distR="114300" simplePos="0" relativeHeight="251688448" behindDoc="0" locked="0" layoutInCell="1" allowOverlap="1" wp14:anchorId="781CDC1F" wp14:editId="4910DAA7">
                <wp:simplePos x="0" y="0"/>
                <wp:positionH relativeFrom="margin">
                  <wp:posOffset>5908040</wp:posOffset>
                </wp:positionH>
                <wp:positionV relativeFrom="paragraph">
                  <wp:posOffset>49530</wp:posOffset>
                </wp:positionV>
                <wp:extent cx="838200" cy="895350"/>
                <wp:effectExtent l="0" t="0" r="0" b="0"/>
                <wp:wrapNone/>
                <wp:docPr id="479560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895350"/>
                        </a:xfrm>
                        <a:prstGeom prst="rect">
                          <a:avLst/>
                        </a:prstGeom>
                        <a:solidFill>
                          <a:schemeClr val="lt1"/>
                        </a:solidFill>
                        <a:ln w="6350">
                          <a:noFill/>
                        </a:ln>
                      </wps:spPr>
                      <wps:txbx>
                        <w:txbxContent>
                          <w:p w14:paraId="5F2C799B" w14:textId="5149EACD" w:rsidR="00141109" w:rsidRDefault="00682789" w:rsidP="00E47011">
                            <w:r>
                              <w:rPr>
                                <w:noProof/>
                              </w:rPr>
                              <w:drawing>
                                <wp:inline distT="0" distB="0" distL="0" distR="0" wp14:anchorId="2A5CDB6C" wp14:editId="56C0A6F7">
                                  <wp:extent cx="648970" cy="918224"/>
                                  <wp:effectExtent l="0" t="0" r="0" b="0"/>
                                  <wp:docPr id="16" name="Picture 16" descr="Frontline Marketing, Management and Economics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line Marketing, Management and Economics Jou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970" cy="918224"/>
                                          </a:xfrm>
                                          <a:prstGeom prst="rect">
                                            <a:avLst/>
                                          </a:prstGeom>
                                          <a:noFill/>
                                          <a:ln>
                                            <a:noFill/>
                                          </a:ln>
                                        </pic:spPr>
                                      </pic:pic>
                                    </a:graphicData>
                                  </a:graphic>
                                </wp:inline>
                              </w:drawing>
                            </w:r>
                            <w:r w:rsidR="00141109">
                              <w:rPr>
                                <w:noProof/>
                              </w:rPr>
                              <w:drawing>
                                <wp:inline distT="0" distB="0" distL="0" distR="0" wp14:anchorId="5870720D" wp14:editId="7F95B465">
                                  <wp:extent cx="648917" cy="781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4820" cy="788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CDC1F" id="_x0000_t202" coordsize="21600,21600" o:spt="202" path="m,l,21600r21600,l21600,xe">
                <v:stroke joinstyle="miter"/>
                <v:path gradientshapeok="t" o:connecttype="rect"/>
              </v:shapetype>
              <v:shape id="Text Box 5" o:spid="_x0000_s1026" type="#_x0000_t202" style="position:absolute;left:0;text-align:left;margin-left:465.2pt;margin-top:3.9pt;width:66pt;height:70.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" fillcolor="white [3201]" stroked="f" strokeweight=".5pt">
                <v:path arrowok="t"/>
                <v:textbox>
                  <w:txbxContent>
                    <w:p w14:paraId="5F2C799B" w14:textId="5149EACD" w:rsidR="00141109" w:rsidRDefault="00682789" w:rsidP="00E47011">
                      <w:r>
                        <w:rPr>
                          <w:noProof/>
                        </w:rPr>
                        <w:drawing>
                          <wp:inline distT="0" distB="0" distL="0" distR="0" wp14:anchorId="2A5CDB6C" wp14:editId="56C0A6F7">
                            <wp:extent cx="648970" cy="918224"/>
                            <wp:effectExtent l="0" t="0" r="0" b="0"/>
                            <wp:docPr id="16" name="Picture 16" descr="Frontline Marketing, Management and Economics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line Marketing, Management and Economics Journ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970" cy="918224"/>
                                    </a:xfrm>
                                    <a:prstGeom prst="rect">
                                      <a:avLst/>
                                    </a:prstGeom>
                                    <a:noFill/>
                                    <a:ln>
                                      <a:noFill/>
                                    </a:ln>
                                  </pic:spPr>
                                </pic:pic>
                              </a:graphicData>
                            </a:graphic>
                          </wp:inline>
                        </w:drawing>
                      </w:r>
                      <w:r w:rsidR="00141109">
                        <w:rPr>
                          <w:noProof/>
                        </w:rPr>
                        <w:drawing>
                          <wp:inline distT="0" distB="0" distL="0" distR="0" wp14:anchorId="5870720D" wp14:editId="7F95B465">
                            <wp:extent cx="648917" cy="781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4820" cy="788155"/>
                                    </a:xfrm>
                                    <a:prstGeom prst="rect">
                                      <a:avLst/>
                                    </a:prstGeom>
                                  </pic:spPr>
                                </pic:pic>
                              </a:graphicData>
                            </a:graphic>
                          </wp:inline>
                        </w:drawing>
                      </w:r>
                    </w:p>
                  </w:txbxContent>
                </v:textbox>
                <w10:wrap anchorx="margin"/>
              </v:shape>
            </w:pict>
          </mc:Fallback>
        </mc:AlternateContent>
      </w:r>
      <w:r>
        <w:rPr>
          <w:noProof/>
          <w:color w:val="244061" w:themeColor="accent1" w:themeShade="80"/>
        </w:rPr>
        <mc:AlternateContent>
          <mc:Choice Requires="wps">
            <w:drawing>
              <wp:anchor distT="0" distB="0" distL="114300" distR="114300" simplePos="0" relativeHeight="251682304" behindDoc="0" locked="0" layoutInCell="1" allowOverlap="1" wp14:anchorId="3ABB6359" wp14:editId="607D6D81">
                <wp:simplePos x="0" y="0"/>
                <wp:positionH relativeFrom="margin">
                  <wp:posOffset>148590</wp:posOffset>
                </wp:positionH>
                <wp:positionV relativeFrom="paragraph">
                  <wp:posOffset>106680</wp:posOffset>
                </wp:positionV>
                <wp:extent cx="1524000" cy="895350"/>
                <wp:effectExtent l="0" t="0" r="0" b="0"/>
                <wp:wrapNone/>
                <wp:docPr id="21541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895350"/>
                        </a:xfrm>
                        <a:prstGeom prst="rect">
                          <a:avLst/>
                        </a:prstGeom>
                        <a:solidFill>
                          <a:schemeClr val="lt1"/>
                        </a:solidFill>
                        <a:ln w="6350">
                          <a:noFill/>
                        </a:ln>
                      </wps:spPr>
                      <wps:txbx>
                        <w:txbxContent>
                          <w:p w14:paraId="7F386D9D" w14:textId="7FDF439E" w:rsidR="00141109" w:rsidRDefault="00141109" w:rsidP="00E47011">
                            <w:r>
                              <w:rPr>
                                <w:noProof/>
                              </w:rPr>
                              <w:drawing>
                                <wp:inline distT="0" distB="0" distL="0" distR="0" wp14:anchorId="5F108E3B" wp14:editId="43F2559B">
                                  <wp:extent cx="1291341" cy="482600"/>
                                  <wp:effectExtent l="0" t="0" r="4445" b="0"/>
                                  <wp:docPr id="349304434" name="Picture 4" descr="Frontline Social Sciences and History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ontline Social Sciences and History Journ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4612" cy="4838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B6359" id="Text Box 2" o:spid="_x0000_s1027" type="#_x0000_t202" style="position:absolute;left:0;text-align:left;margin-left:11.7pt;margin-top:8.4pt;width:120pt;height:70.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" fillcolor="white [3201]" stroked="f" strokeweight=".5pt">
                <v:path arrowok="t"/>
                <v:textbox>
                  <w:txbxContent>
                    <w:p w14:paraId="7F386D9D" w14:textId="7FDF439E" w:rsidR="00141109" w:rsidRDefault="00141109" w:rsidP="00E47011">
                      <w:r>
                        <w:rPr>
                          <w:noProof/>
                        </w:rPr>
                        <w:drawing>
                          <wp:inline distT="0" distB="0" distL="0" distR="0" wp14:anchorId="5F108E3B" wp14:editId="43F2559B">
                            <wp:extent cx="1291341" cy="482600"/>
                            <wp:effectExtent l="0" t="0" r="4445" b="0"/>
                            <wp:docPr id="349304434" name="Picture 4" descr="Frontline Social Sciences and History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ontline Social Sciences and History Journ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4612" cy="483822"/>
                                    </a:xfrm>
                                    <a:prstGeom prst="rect">
                                      <a:avLst/>
                                    </a:prstGeom>
                                    <a:noFill/>
                                    <a:ln>
                                      <a:noFill/>
                                    </a:ln>
                                  </pic:spPr>
                                </pic:pic>
                              </a:graphicData>
                            </a:graphic>
                          </wp:inline>
                        </w:drawing>
                      </w:r>
                    </w:p>
                  </w:txbxContent>
                </v:textbox>
                <w10:wrap anchorx="margin"/>
              </v:shape>
            </w:pict>
          </mc:Fallback>
        </mc:AlternateContent>
      </w:r>
      <w:r>
        <w:rPr>
          <w:noProof/>
          <w:sz w:val="12"/>
        </w:rPr>
        <mc:AlternateContent>
          <mc:Choice Requires="wps">
            <w:drawing>
              <wp:anchor distT="0" distB="0" distL="0" distR="0" simplePos="0" relativeHeight="251656704" behindDoc="0" locked="0" layoutInCell="1" allowOverlap="1" wp14:anchorId="21B494AF" wp14:editId="1569880F">
                <wp:simplePos x="0" y="0"/>
                <wp:positionH relativeFrom="page">
                  <wp:posOffset>2063750</wp:posOffset>
                </wp:positionH>
                <wp:positionV relativeFrom="paragraph">
                  <wp:posOffset>132080</wp:posOffset>
                </wp:positionV>
                <wp:extent cx="4165600" cy="828040"/>
                <wp:effectExtent l="0" t="0" r="635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5600" cy="828040"/>
                        </a:xfrm>
                        <a:prstGeom prst="rect">
                          <a:avLst/>
                        </a:prstGeom>
                        <a:solidFill>
                          <a:srgbClr val="E6E7E8"/>
                        </a:solidFill>
                      </wps:spPr>
                      <wps:txbx>
                        <w:txbxContent>
                          <w:p w14:paraId="104814AC" w14:textId="77777777" w:rsidR="00141109" w:rsidRDefault="00141109">
                            <w:pPr>
                              <w:pStyle w:val="BodyText"/>
                              <w:spacing w:before="93"/>
                              <w:rPr>
                                <w:rFonts w:ascii="Arial MT"/>
                                <w:color w:val="000000"/>
                              </w:rPr>
                            </w:pPr>
                          </w:p>
                          <w:p w14:paraId="384DCBD3" w14:textId="7C77131D" w:rsidR="00141109" w:rsidRDefault="00141109">
                            <w:pPr>
                              <w:ind w:left="2"/>
                              <w:jc w:val="center"/>
                              <w:rPr>
                                <w:color w:val="231F20"/>
                                <w:w w:val="110"/>
                                <w:sz w:val="28"/>
                              </w:rPr>
                            </w:pPr>
                            <w:r w:rsidRPr="00FF5824">
                              <w:rPr>
                                <w:color w:val="231F20"/>
                                <w:w w:val="110"/>
                                <w:sz w:val="28"/>
                              </w:rPr>
                              <w:t>Frontline Marketing, Management and Economics Journal</w:t>
                            </w:r>
                          </w:p>
                          <w:p w14:paraId="1652B0A9" w14:textId="1F08B9D8" w:rsidR="00141109" w:rsidRDefault="00141109">
                            <w:pPr>
                              <w:ind w:left="2"/>
                              <w:jc w:val="center"/>
                              <w:rPr>
                                <w:color w:val="000000"/>
                                <w:sz w:val="28"/>
                              </w:rPr>
                            </w:pPr>
                            <w:r w:rsidRPr="00FF5824">
                              <w:rPr>
                                <w:color w:val="000000"/>
                                <w:sz w:val="28"/>
                              </w:rPr>
                              <w:t>ISSN: 2752-700X</w:t>
                            </w:r>
                          </w:p>
                        </w:txbxContent>
                      </wps:txbx>
                      <wps:bodyPr wrap="square" lIns="0" tIns="0" rIns="0" bIns="0" rtlCol="0">
                        <a:noAutofit/>
                      </wps:bodyPr>
                    </wps:wsp>
                  </a:graphicData>
                </a:graphic>
                <wp14:sizeRelH relativeFrom="margin">
                  <wp14:pctWidth>0</wp14:pctWidth>
                </wp14:sizeRelH>
              </wp:anchor>
            </w:drawing>
          </mc:Choice>
          <mc:Fallback>
            <w:pict>
              <v:shape w14:anchorId="21B494AF" id="Textbox 4" o:spid="_x0000_s1028" type="#_x0000_t202" style="position:absolute;left:0;text-align:left;margin-left:162.5pt;margin-top:10.4pt;width:328pt;height:65.2pt;z-index:2516567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" fillcolor="#e6e7e8" stroked="f">
                <v:path arrowok="t"/>
                <v:textbox inset="0,0,0,0">
                  <w:txbxContent>
                    <w:p w14:paraId="104814AC" w14:textId="77777777" w:rsidR="00141109" w:rsidRDefault="00141109">
                      <w:pPr>
                        <w:pStyle w:val="BodyText"/>
                        <w:spacing w:before="93"/>
                        <w:rPr>
                          <w:rFonts w:ascii="Arial MT"/>
                          <w:color w:val="000000"/>
                        </w:rPr>
                      </w:pPr>
                    </w:p>
                    <w:p w14:paraId="384DCBD3" w14:textId="7C77131D" w:rsidR="00141109" w:rsidRDefault="00141109">
                      <w:pPr>
                        <w:ind w:left="2"/>
                        <w:jc w:val="center"/>
                        <w:rPr>
                          <w:color w:val="231F20"/>
                          <w:w w:val="110"/>
                          <w:sz w:val="28"/>
                        </w:rPr>
                      </w:pPr>
                      <w:r w:rsidRPr="00FF5824">
                        <w:rPr>
                          <w:color w:val="231F20"/>
                          <w:w w:val="110"/>
                          <w:sz w:val="28"/>
                        </w:rPr>
                        <w:t>Frontline Marketing, Management and Economics Journal</w:t>
                      </w:r>
                    </w:p>
                    <w:p w14:paraId="1652B0A9" w14:textId="1F08B9D8" w:rsidR="00141109" w:rsidRDefault="00141109">
                      <w:pPr>
                        <w:ind w:left="2"/>
                        <w:jc w:val="center"/>
                        <w:rPr>
                          <w:color w:val="000000"/>
                          <w:sz w:val="28"/>
                        </w:rPr>
                      </w:pPr>
                      <w:r w:rsidRPr="00FF5824">
                        <w:rPr>
                          <w:color w:val="000000"/>
                          <w:sz w:val="28"/>
                        </w:rPr>
                        <w:t>ISSN: 2752-700X</w:t>
                      </w:r>
                    </w:p>
                  </w:txbxContent>
                </v:textbox>
                <w10:wrap anchorx="page"/>
              </v:shape>
            </w:pict>
          </mc:Fallback>
        </mc:AlternateContent>
      </w:r>
      <w:r w:rsidRPr="004D2F64">
        <w:rPr>
          <w:b/>
          <w:bCs/>
          <w:noProof/>
          <w:sz w:val="24"/>
          <w:szCs w:val="24"/>
        </w:rPr>
        <mc:AlternateContent>
          <mc:Choice Requires="wps">
            <w:drawing>
              <wp:anchor distT="0" distB="0" distL="0" distR="0" simplePos="0" relativeHeight="251643392" behindDoc="0" locked="0" layoutInCell="1" allowOverlap="1" wp14:anchorId="5838E2FC" wp14:editId="41E3B28E">
                <wp:simplePos x="0" y="0"/>
                <wp:positionH relativeFrom="page">
                  <wp:posOffset>539750</wp:posOffset>
                </wp:positionH>
                <wp:positionV relativeFrom="paragraph">
                  <wp:posOffset>55880</wp:posOffset>
                </wp:positionV>
                <wp:extent cx="5688330" cy="38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3810"/>
                        </a:xfrm>
                        <a:custGeom>
                          <a:avLst/>
                          <a:gdLst/>
                          <a:ahLst/>
                          <a:cxnLst/>
                          <a:rect l="l" t="t" r="r" b="b"/>
                          <a:pathLst>
                            <a:path w="5688330" h="3810">
                              <a:moveTo>
                                <a:pt x="5687999" y="0"/>
                              </a:moveTo>
                              <a:lnTo>
                                <a:pt x="0" y="0"/>
                              </a:lnTo>
                              <a:lnTo>
                                <a:pt x="0" y="3601"/>
                              </a:lnTo>
                              <a:lnTo>
                                <a:pt x="5687999" y="3601"/>
                              </a:lnTo>
                              <a:lnTo>
                                <a:pt x="568799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2F417AAC" id="Freeform: Shape 1" o:spid="_x0000_s1026" style="position:absolute;margin-left:42.5pt;margin-top:4.4pt;width:447.9pt;height:.3pt;z-index:251643392;visibility:visible;mso-wrap-style:square;mso-wrap-distance-left:0;mso-wrap-distance-top:0;mso-wrap-distance-right:0;mso-wrap-distance-bottom:0;mso-position-horizontal:absolute;mso-position-horizontal-relative:page;mso-position-vertical:absolute;mso-position-vertical-relative:text;v-text-anchor:top" coordsize="568833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" path="m5687999,l,,,3601r5687999,l5687999,xe" fillcolor="#231f20" stroked="f">
                <v:path arrowok="t"/>
                <w10:wrap anchorx="page"/>
              </v:shape>
            </w:pict>
          </mc:Fallback>
        </mc:AlternateContent>
      </w:r>
      <w:r w:rsidR="00E47011" w:rsidRPr="004D2F64">
        <w:rPr>
          <w:b/>
          <w:bCs/>
          <w:sz w:val="24"/>
          <w:szCs w:val="24"/>
        </w:rPr>
        <w:t xml:space="preserve"> </w:t>
      </w:r>
    </w:p>
    <w:p w14:paraId="6927B367" w14:textId="661E0C46" w:rsidR="00524900" w:rsidRDefault="00524900">
      <w:pPr>
        <w:pStyle w:val="BodyText"/>
        <w:rPr>
          <w:sz w:val="20"/>
        </w:rPr>
      </w:pPr>
    </w:p>
    <w:p w14:paraId="331A7054" w14:textId="77777777" w:rsidR="00524900" w:rsidRDefault="00524900">
      <w:pPr>
        <w:pStyle w:val="BodyText"/>
        <w:rPr>
          <w:sz w:val="20"/>
        </w:rPr>
      </w:pPr>
    </w:p>
    <w:p w14:paraId="18540E4D" w14:textId="1F7B0815" w:rsidR="00524900" w:rsidRDefault="00524900">
      <w:pPr>
        <w:pStyle w:val="BodyText"/>
        <w:rPr>
          <w:sz w:val="20"/>
        </w:rPr>
      </w:pPr>
    </w:p>
    <w:p w14:paraId="6BB553E5" w14:textId="77777777" w:rsidR="00524900" w:rsidRDefault="00524900">
      <w:pPr>
        <w:pStyle w:val="BodyText"/>
        <w:rPr>
          <w:sz w:val="20"/>
        </w:rPr>
      </w:pPr>
    </w:p>
    <w:p w14:paraId="266073AD" w14:textId="72F00B8A" w:rsidR="00524900" w:rsidRDefault="00A00A67">
      <w:pPr>
        <w:pStyle w:val="BodyText"/>
        <w:rPr>
          <w:sz w:val="20"/>
        </w:rPr>
      </w:pPr>
      <w:r>
        <w:rPr>
          <w:noProof/>
          <w:sz w:val="20"/>
        </w:rPr>
        <mc:AlternateContent>
          <mc:Choice Requires="wps">
            <w:drawing>
              <wp:anchor distT="0" distB="0" distL="0" distR="0" simplePos="0" relativeHeight="251672064" behindDoc="1" locked="0" layoutInCell="1" allowOverlap="1" wp14:anchorId="77EDBD88" wp14:editId="67609C5E">
                <wp:simplePos x="0" y="0"/>
                <wp:positionH relativeFrom="page">
                  <wp:posOffset>539750</wp:posOffset>
                </wp:positionH>
                <wp:positionV relativeFrom="paragraph">
                  <wp:posOffset>226695</wp:posOffset>
                </wp:positionV>
                <wp:extent cx="6592570" cy="3873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2570" cy="38735"/>
                        </a:xfrm>
                        <a:custGeom>
                          <a:avLst/>
                          <a:gdLst/>
                          <a:ahLst/>
                          <a:cxnLst/>
                          <a:rect l="l" t="t" r="r" b="b"/>
                          <a:pathLst>
                            <a:path w="6592570" h="38735">
                              <a:moveTo>
                                <a:pt x="6592316" y="0"/>
                              </a:moveTo>
                              <a:lnTo>
                                <a:pt x="0" y="0"/>
                              </a:lnTo>
                              <a:lnTo>
                                <a:pt x="0" y="38159"/>
                              </a:lnTo>
                              <a:lnTo>
                                <a:pt x="6592316" y="38159"/>
                              </a:lnTo>
                              <a:lnTo>
                                <a:pt x="6592316"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1F35ADE7" id="Freeform: Shape 1" o:spid="_x0000_s1026" style="position:absolute;margin-left:42.5pt;margin-top:17.85pt;width:519.1pt;height:3.05pt;z-index:-251644416;visibility:visible;mso-wrap-style:square;mso-wrap-distance-left:0;mso-wrap-distance-top:0;mso-wrap-distance-right:0;mso-wrap-distance-bottom:0;mso-position-horizontal:absolute;mso-position-horizontal-relative:page;mso-position-vertical:absolute;mso-position-vertical-relative:text;v-text-anchor:top" coordsize="6592570,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" path="m6592316,l,,,38159r6592316,l6592316,xe" fillcolor="#231f20" stroked="f">
                <v:path arrowok="t"/>
                <w10:wrap type="topAndBottom" anchorx="page"/>
              </v:shape>
            </w:pict>
          </mc:Fallback>
        </mc:AlternateContent>
      </w:r>
    </w:p>
    <w:p w14:paraId="597C9610" w14:textId="77777777" w:rsidR="00524900" w:rsidRDefault="00524900">
      <w:pPr>
        <w:pStyle w:val="BodyText"/>
        <w:rPr>
          <w:sz w:val="12"/>
        </w:rPr>
      </w:pPr>
    </w:p>
    <w:p w14:paraId="0B6E9062" w14:textId="4A0B4D75" w:rsidR="00524900" w:rsidRDefault="00ED7583" w:rsidP="00ED7583">
      <w:pPr>
        <w:spacing w:line="266" w:lineRule="auto"/>
        <w:ind w:left="284" w:right="1347"/>
        <w:jc w:val="both"/>
        <w:rPr>
          <w:color w:val="231F20"/>
          <w:spacing w:val="-2"/>
          <w:w w:val="115"/>
          <w:sz w:val="27"/>
        </w:rPr>
      </w:pPr>
      <w:r w:rsidRPr="00ED7583">
        <w:rPr>
          <w:color w:val="231F20"/>
          <w:spacing w:val="-2"/>
          <w:w w:val="115"/>
          <w:sz w:val="27"/>
        </w:rPr>
        <w:t>Generative Artificial Intelligence Adoption and Organisational Performance in Small and Medium-Sized Enterprises: A Multi-Theoretical Examination of Readiness, Ethics, and Digital Transformation</w:t>
      </w:r>
    </w:p>
    <w:p w14:paraId="24B443C6" w14:textId="2AFEDF54" w:rsidR="00A30B70" w:rsidRDefault="00A30B70">
      <w:pPr>
        <w:spacing w:line="266" w:lineRule="auto"/>
        <w:ind w:left="284" w:right="1347"/>
        <w:rPr>
          <w:sz w:val="27"/>
        </w:rPr>
      </w:pPr>
    </w:p>
    <w:p w14:paraId="0ECA6EA3" w14:textId="77777777" w:rsidR="007F576B" w:rsidRDefault="007F576B">
      <w:pPr>
        <w:spacing w:line="266" w:lineRule="auto"/>
        <w:ind w:left="284" w:right="1347"/>
        <w:rPr>
          <w:sz w:val="27"/>
        </w:rPr>
      </w:pPr>
    </w:p>
    <w:p w14:paraId="7E3FD321" w14:textId="1B17A915" w:rsidR="006855F1" w:rsidRPr="00497697" w:rsidRDefault="003A6BE8" w:rsidP="00497697">
      <w:pPr>
        <w:spacing w:before="124"/>
        <w:ind w:left="284"/>
        <w:rPr>
          <w:color w:val="231F20"/>
          <w:spacing w:val="-2"/>
          <w:w w:val="110"/>
          <w:sz w:val="21"/>
        </w:rPr>
      </w:pPr>
      <w:r w:rsidRPr="003A6BE8">
        <w:rPr>
          <w:color w:val="231F20"/>
          <w:spacing w:val="-2"/>
          <w:w w:val="110"/>
          <w:sz w:val="21"/>
        </w:rPr>
        <w:t>Jan Maja</w:t>
      </w:r>
    </w:p>
    <w:p w14:paraId="0FC4505E" w14:textId="67927966" w:rsidR="005B27E9" w:rsidRPr="00601888" w:rsidRDefault="003A6BE8" w:rsidP="00601888">
      <w:pPr>
        <w:spacing w:before="124"/>
        <w:ind w:left="284"/>
        <w:rPr>
          <w:rFonts w:ascii="Calibri"/>
          <w:iCs/>
          <w:color w:val="231F20"/>
          <w:spacing w:val="-2"/>
          <w:w w:val="115"/>
          <w:sz w:val="14"/>
          <w:szCs w:val="14"/>
        </w:rPr>
      </w:pPr>
      <w:r w:rsidRPr="003A6BE8">
        <w:rPr>
          <w:rFonts w:ascii="Calibri"/>
          <w:iCs/>
          <w:color w:val="231F20"/>
          <w:spacing w:val="-2"/>
          <w:w w:val="115"/>
          <w:sz w:val="14"/>
          <w:szCs w:val="14"/>
        </w:rPr>
        <w:t>Department of Innovation and Digital Economy University of Ljubljana, Slovenia</w:t>
      </w:r>
    </w:p>
    <w:p w14:paraId="6EEC764C" w14:textId="367F1677" w:rsidR="006855F1" w:rsidRPr="001B21D9" w:rsidRDefault="006855F1" w:rsidP="006855F1">
      <w:pPr>
        <w:spacing w:before="25"/>
        <w:ind w:left="284"/>
        <w:rPr>
          <w:rFonts w:ascii="Calibri"/>
          <w:iCs/>
          <w:sz w:val="14"/>
          <w:szCs w:val="14"/>
        </w:rPr>
      </w:pPr>
    </w:p>
    <w:p w14:paraId="4688A5F6" w14:textId="3E7D60B7" w:rsidR="00524900" w:rsidRDefault="00F32D24">
      <w:pPr>
        <w:pStyle w:val="BodyText"/>
        <w:spacing w:before="5"/>
        <w:rPr>
          <w:rFonts w:ascii="Calibri"/>
          <w:i/>
          <w:sz w:val="13"/>
        </w:rPr>
      </w:pPr>
      <w:r>
        <w:rPr>
          <w:rFonts w:ascii="Calibri"/>
          <w:i/>
          <w:noProof/>
          <w:sz w:val="13"/>
        </w:rPr>
        <mc:AlternateContent>
          <mc:Choice Requires="wps">
            <w:drawing>
              <wp:anchor distT="0" distB="0" distL="0" distR="0" simplePos="0" relativeHeight="251673088" behindDoc="1" locked="0" layoutInCell="1" allowOverlap="1" wp14:anchorId="2DF1EB2D" wp14:editId="33B1067D">
                <wp:simplePos x="0" y="0"/>
                <wp:positionH relativeFrom="page">
                  <wp:posOffset>540002</wp:posOffset>
                </wp:positionH>
                <wp:positionV relativeFrom="paragraph">
                  <wp:posOffset>119339</wp:posOffset>
                </wp:positionV>
                <wp:extent cx="6591934" cy="317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4" cy="3175"/>
                        </a:xfrm>
                        <a:custGeom>
                          <a:avLst/>
                          <a:gdLst/>
                          <a:ahLst/>
                          <a:cxnLst/>
                          <a:rect l="l" t="t" r="r" b="b"/>
                          <a:pathLst>
                            <a:path w="6591934" h="3175">
                              <a:moveTo>
                                <a:pt x="6591604" y="0"/>
                              </a:moveTo>
                              <a:lnTo>
                                <a:pt x="0" y="0"/>
                              </a:lnTo>
                              <a:lnTo>
                                <a:pt x="0" y="2877"/>
                              </a:lnTo>
                              <a:lnTo>
                                <a:pt x="6591604" y="2877"/>
                              </a:lnTo>
                              <a:lnTo>
                                <a:pt x="659160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6D399BD4" id="Freeform: Shape 1" o:spid="_x0000_s1026" style="position:absolute;margin-left:42.5pt;margin-top:9.4pt;width:519.05pt;height:.25pt;z-index:-251643392;visibility:visible;mso-wrap-style:square;mso-wrap-distance-left:0;mso-wrap-distance-top:0;mso-wrap-distance-right:0;mso-wrap-distance-bottom:0;mso-position-horizontal:absolute;mso-position-horizontal-relative:page;mso-position-vertical:absolute;mso-position-vertical-relative:text;v-text-anchor:top" coordsize="659193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" path="m6591604,l,,,2877r6591604,l6591604,xe" fillcolor="#231f20" stroked="f">
                <v:path arrowok="t"/>
                <w10:wrap type="topAndBottom" anchorx="page"/>
              </v:shape>
            </w:pict>
          </mc:Fallback>
        </mc:AlternateContent>
      </w:r>
    </w:p>
    <w:p w14:paraId="0353A331" w14:textId="77777777" w:rsidR="00524900" w:rsidRDefault="00524900">
      <w:pPr>
        <w:pStyle w:val="BodyText"/>
        <w:spacing w:before="2"/>
        <w:rPr>
          <w:rFonts w:ascii="Calibri"/>
          <w:i/>
          <w:sz w:val="13"/>
        </w:rPr>
      </w:pPr>
    </w:p>
    <w:p w14:paraId="3AA83397" w14:textId="77777777" w:rsidR="00524900" w:rsidRDefault="00524900">
      <w:pPr>
        <w:pStyle w:val="BodyText"/>
        <w:rPr>
          <w:rFonts w:ascii="Calibri"/>
          <w:i/>
          <w:sz w:val="13"/>
        </w:rPr>
        <w:sectPr w:rsidR="00524900" w:rsidSect="00590D46">
          <w:headerReference w:type="even" r:id="rId14"/>
          <w:headerReference w:type="default" r:id="rId15"/>
          <w:footerReference w:type="even" r:id="rId16"/>
          <w:footerReference w:type="default" r:id="rId17"/>
          <w:type w:val="continuous"/>
          <w:pgSz w:w="11910" w:h="15880"/>
          <w:pgMar w:top="640" w:right="566" w:bottom="280" w:left="566" w:header="0" w:footer="432" w:gutter="0"/>
          <w:pgNumType w:start="7"/>
          <w:cols w:space="720"/>
          <w:docGrid w:linePitch="299"/>
        </w:sectPr>
      </w:pPr>
    </w:p>
    <w:p w14:paraId="61D008D0" w14:textId="77777777" w:rsidR="00524900" w:rsidRDefault="00F32D24">
      <w:pPr>
        <w:tabs>
          <w:tab w:val="left" w:pos="1580"/>
        </w:tabs>
        <w:spacing w:before="109"/>
        <w:ind w:left="284"/>
        <w:rPr>
          <w:rFonts w:ascii="Trebuchet MS" w:hAnsi="Trebuchet MS"/>
          <w:sz w:val="18"/>
        </w:rPr>
      </w:pPr>
      <w:r>
        <w:rPr>
          <w:rFonts w:ascii="Trebuchet MS" w:hAnsi="Trebuchet MS"/>
          <w:color w:val="231F20"/>
          <w:spacing w:val="25"/>
          <w:sz w:val="18"/>
        </w:rPr>
        <w:t>A</w:t>
      </w:r>
      <w:r>
        <w:rPr>
          <w:rFonts w:ascii="Trebuchet MS" w:hAnsi="Trebuchet MS"/>
          <w:color w:val="231F20"/>
          <w:spacing w:val="-10"/>
          <w:sz w:val="18"/>
        </w:rPr>
        <w:t xml:space="preserve"> </w:t>
      </w:r>
      <w:r>
        <w:rPr>
          <w:rFonts w:ascii="Trebuchet MS" w:hAnsi="Trebuchet MS"/>
          <w:color w:val="231F20"/>
          <w:spacing w:val="25"/>
          <w:sz w:val="18"/>
        </w:rPr>
        <w:t>R</w:t>
      </w:r>
      <w:r>
        <w:rPr>
          <w:rFonts w:ascii="Trebuchet MS" w:hAnsi="Trebuchet MS"/>
          <w:color w:val="231F20"/>
          <w:spacing w:val="-9"/>
          <w:sz w:val="18"/>
        </w:rPr>
        <w:t xml:space="preserve"> </w:t>
      </w:r>
      <w:r>
        <w:rPr>
          <w:rFonts w:ascii="Trebuchet MS" w:hAnsi="Trebuchet MS"/>
          <w:color w:val="231F20"/>
          <w:spacing w:val="25"/>
          <w:sz w:val="18"/>
        </w:rPr>
        <w:t>T</w:t>
      </w:r>
      <w:r>
        <w:rPr>
          <w:rFonts w:ascii="Trebuchet MS" w:hAnsi="Trebuchet MS"/>
          <w:color w:val="231F20"/>
          <w:spacing w:val="-10"/>
          <w:sz w:val="18"/>
        </w:rPr>
        <w:t xml:space="preserve"> </w:t>
      </w:r>
      <w:r>
        <w:rPr>
          <w:rFonts w:ascii="Trebuchet MS" w:hAnsi="Trebuchet MS"/>
          <w:color w:val="231F20"/>
          <w:spacing w:val="25"/>
          <w:sz w:val="18"/>
        </w:rPr>
        <w:t>I</w:t>
      </w:r>
      <w:r>
        <w:rPr>
          <w:rFonts w:ascii="Trebuchet MS" w:hAnsi="Trebuchet MS"/>
          <w:color w:val="231F20"/>
          <w:spacing w:val="-9"/>
          <w:sz w:val="18"/>
        </w:rPr>
        <w:t xml:space="preserve"> </w:t>
      </w:r>
      <w:r>
        <w:rPr>
          <w:rFonts w:ascii="Trebuchet MS" w:hAnsi="Trebuchet MS"/>
          <w:color w:val="231F20"/>
          <w:spacing w:val="25"/>
          <w:sz w:val="18"/>
        </w:rPr>
        <w:t>C</w:t>
      </w:r>
      <w:r>
        <w:rPr>
          <w:rFonts w:ascii="Trebuchet MS" w:hAnsi="Trebuchet MS"/>
          <w:color w:val="231F20"/>
          <w:spacing w:val="-10"/>
          <w:sz w:val="18"/>
        </w:rPr>
        <w:t xml:space="preserve"> </w:t>
      </w:r>
      <w:r>
        <w:rPr>
          <w:rFonts w:ascii="Trebuchet MS" w:hAnsi="Trebuchet MS"/>
          <w:color w:val="231F20"/>
          <w:spacing w:val="25"/>
          <w:sz w:val="18"/>
        </w:rPr>
        <w:t>L</w:t>
      </w:r>
      <w:r>
        <w:rPr>
          <w:rFonts w:ascii="Trebuchet MS" w:hAnsi="Trebuchet MS"/>
          <w:color w:val="231F20"/>
          <w:spacing w:val="-9"/>
          <w:sz w:val="18"/>
        </w:rPr>
        <w:t xml:space="preserve"> </w:t>
      </w:r>
      <w:r>
        <w:rPr>
          <w:rFonts w:ascii="Trebuchet MS" w:hAnsi="Trebuchet MS"/>
          <w:color w:val="231F20"/>
          <w:spacing w:val="-10"/>
          <w:sz w:val="18"/>
        </w:rPr>
        <w:t>E</w:t>
      </w:r>
      <w:r>
        <w:rPr>
          <w:rFonts w:ascii="Trebuchet MS" w:hAnsi="Trebuchet MS"/>
          <w:color w:val="231F20"/>
          <w:sz w:val="18"/>
        </w:rPr>
        <w:tab/>
        <w:t>I</w:t>
      </w:r>
      <w:r>
        <w:rPr>
          <w:rFonts w:ascii="Trebuchet MS" w:hAnsi="Trebuchet MS"/>
          <w:color w:val="231F20"/>
          <w:spacing w:val="28"/>
          <w:sz w:val="18"/>
        </w:rPr>
        <w:t xml:space="preserve"> </w:t>
      </w:r>
      <w:r>
        <w:rPr>
          <w:rFonts w:ascii="Trebuchet MS" w:hAnsi="Trebuchet MS"/>
          <w:color w:val="231F20"/>
          <w:spacing w:val="25"/>
          <w:sz w:val="18"/>
        </w:rPr>
        <w:t>N</w:t>
      </w:r>
      <w:r>
        <w:rPr>
          <w:rFonts w:ascii="Trebuchet MS" w:hAnsi="Trebuchet MS"/>
          <w:color w:val="231F20"/>
          <w:spacing w:val="2"/>
          <w:sz w:val="18"/>
        </w:rPr>
        <w:t xml:space="preserve"> </w:t>
      </w:r>
      <w:r>
        <w:rPr>
          <w:rFonts w:ascii="Trebuchet MS" w:hAnsi="Trebuchet MS"/>
          <w:color w:val="231F20"/>
          <w:spacing w:val="25"/>
          <w:sz w:val="18"/>
        </w:rPr>
        <w:t>f</w:t>
      </w:r>
      <w:r>
        <w:rPr>
          <w:rFonts w:ascii="Trebuchet MS" w:hAnsi="Trebuchet MS"/>
          <w:color w:val="231F20"/>
          <w:spacing w:val="2"/>
          <w:sz w:val="18"/>
        </w:rPr>
        <w:t xml:space="preserve"> </w:t>
      </w:r>
      <w:r>
        <w:rPr>
          <w:rFonts w:ascii="Trebuchet MS" w:hAnsi="Trebuchet MS"/>
          <w:color w:val="231F20"/>
          <w:spacing w:val="-10"/>
          <w:sz w:val="18"/>
        </w:rPr>
        <w:t xml:space="preserve">О </w:t>
      </w:r>
    </w:p>
    <w:p w14:paraId="04EF060F" w14:textId="77777777" w:rsidR="00524900" w:rsidRDefault="00524900">
      <w:pPr>
        <w:pStyle w:val="BodyText"/>
        <w:spacing w:before="1"/>
        <w:rPr>
          <w:rFonts w:ascii="Trebuchet MS"/>
          <w:sz w:val="18"/>
        </w:rPr>
      </w:pPr>
    </w:p>
    <w:p w14:paraId="60C80F8A" w14:textId="77777777" w:rsidR="00524900" w:rsidRDefault="00F32D24">
      <w:pPr>
        <w:spacing w:before="1"/>
        <w:ind w:left="284"/>
        <w:rPr>
          <w:rFonts w:ascii="Calibri"/>
          <w:i/>
          <w:sz w:val="12"/>
        </w:rPr>
      </w:pPr>
      <w:r>
        <w:rPr>
          <w:rFonts w:ascii="Calibri"/>
          <w:i/>
          <w:noProof/>
          <w:sz w:val="12"/>
        </w:rPr>
        <mc:AlternateContent>
          <mc:Choice Requires="wps">
            <w:drawing>
              <wp:anchor distT="0" distB="0" distL="0" distR="0" simplePos="0" relativeHeight="251627008" behindDoc="0" locked="0" layoutInCell="1" allowOverlap="1" wp14:anchorId="5A559393" wp14:editId="200B67B7">
                <wp:simplePos x="0" y="0"/>
                <wp:positionH relativeFrom="page">
                  <wp:posOffset>540002</wp:posOffset>
                </wp:positionH>
                <wp:positionV relativeFrom="paragraph">
                  <wp:posOffset>-32679</wp:posOffset>
                </wp:positionV>
                <wp:extent cx="1692275" cy="381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810"/>
                        </a:xfrm>
                        <a:custGeom>
                          <a:avLst/>
                          <a:gdLst/>
                          <a:ahLst/>
                          <a:cxnLst/>
                          <a:rect l="l" t="t" r="r" b="b"/>
                          <a:pathLst>
                            <a:path w="1692275" h="3810">
                              <a:moveTo>
                                <a:pt x="1691995" y="0"/>
                              </a:moveTo>
                              <a:lnTo>
                                <a:pt x="0" y="0"/>
                              </a:lnTo>
                              <a:lnTo>
                                <a:pt x="0" y="3596"/>
                              </a:lnTo>
                              <a:lnTo>
                                <a:pt x="1691995" y="3596"/>
                              </a:lnTo>
                              <a:lnTo>
                                <a:pt x="169199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5834D680" id="Freeform: Shape 1" o:spid="_x0000_s1026" style="position:absolute;margin-left:42.5pt;margin-top:-2.55pt;width:133.25pt;height:.3pt;z-index:251627008;visibility:visible;mso-wrap-style:square;mso-wrap-distance-left:0;mso-wrap-distance-top:0;mso-wrap-distance-right:0;mso-wrap-distance-bottom:0;mso-position-horizontal:absolute;mso-position-horizontal-relative:page;mso-position-vertical:absolute;mso-position-vertical-relative:text;v-text-anchor:top" coordsize="169227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" path="m1691995,l,,,3596r1691995,l1691995,xe" fillcolor="#231f20" stroked="f">
                <v:path arrowok="t"/>
                <w10:wrap anchorx="page"/>
              </v:shape>
            </w:pict>
          </mc:Fallback>
        </mc:AlternateContent>
      </w:r>
      <w:r>
        <w:rPr>
          <w:rFonts w:ascii="Calibri"/>
          <w:i/>
          <w:color w:val="231F20"/>
          <w:spacing w:val="-2"/>
          <w:w w:val="115"/>
          <w:sz w:val="12"/>
        </w:rPr>
        <w:t>Article</w:t>
      </w:r>
      <w:r>
        <w:rPr>
          <w:rFonts w:ascii="Calibri"/>
          <w:i/>
          <w:color w:val="231F20"/>
          <w:spacing w:val="1"/>
          <w:w w:val="115"/>
          <w:sz w:val="12"/>
        </w:rPr>
        <w:t xml:space="preserve"> </w:t>
      </w:r>
      <w:r>
        <w:rPr>
          <w:rFonts w:ascii="Calibri"/>
          <w:i/>
          <w:color w:val="231F20"/>
          <w:spacing w:val="-2"/>
          <w:w w:val="115"/>
          <w:sz w:val="12"/>
        </w:rPr>
        <w:t>history:</w:t>
      </w:r>
    </w:p>
    <w:p w14:paraId="760913C5" w14:textId="2181F46E" w:rsidR="00524900" w:rsidRDefault="00E47011" w:rsidP="00B02E0A">
      <w:pPr>
        <w:spacing w:before="27"/>
        <w:ind w:left="284"/>
        <w:jc w:val="both"/>
        <w:rPr>
          <w:sz w:val="12"/>
        </w:rPr>
      </w:pPr>
      <w:r>
        <w:rPr>
          <w:color w:val="231F20"/>
          <w:w w:val="115"/>
          <w:sz w:val="12"/>
        </w:rPr>
        <w:t>Submission Date:</w:t>
      </w:r>
      <w:r>
        <w:rPr>
          <w:color w:val="231F20"/>
          <w:spacing w:val="-4"/>
          <w:w w:val="115"/>
          <w:sz w:val="12"/>
        </w:rPr>
        <w:t xml:space="preserve"> </w:t>
      </w:r>
      <w:r w:rsidR="003A6BE8">
        <w:rPr>
          <w:color w:val="231F20"/>
          <w:w w:val="115"/>
          <w:sz w:val="12"/>
        </w:rPr>
        <w:t>17</w:t>
      </w:r>
      <w:r>
        <w:rPr>
          <w:color w:val="231F20"/>
          <w:spacing w:val="-3"/>
          <w:w w:val="115"/>
          <w:sz w:val="12"/>
        </w:rPr>
        <w:t xml:space="preserve"> </w:t>
      </w:r>
      <w:r w:rsidR="00BA7FBB">
        <w:rPr>
          <w:color w:val="231F20"/>
          <w:w w:val="115"/>
          <w:sz w:val="12"/>
        </w:rPr>
        <w:t>January</w:t>
      </w:r>
      <w:r>
        <w:rPr>
          <w:color w:val="231F20"/>
          <w:spacing w:val="-2"/>
          <w:w w:val="115"/>
          <w:sz w:val="12"/>
        </w:rPr>
        <w:t xml:space="preserve"> </w:t>
      </w:r>
      <w:r>
        <w:rPr>
          <w:color w:val="231F20"/>
          <w:spacing w:val="-4"/>
          <w:w w:val="115"/>
          <w:sz w:val="12"/>
        </w:rPr>
        <w:t>20</w:t>
      </w:r>
      <w:r w:rsidR="001B21D9">
        <w:rPr>
          <w:color w:val="231F20"/>
          <w:spacing w:val="-4"/>
          <w:w w:val="115"/>
          <w:sz w:val="12"/>
        </w:rPr>
        <w:t>2</w:t>
      </w:r>
      <w:r w:rsidR="00BA7FBB">
        <w:rPr>
          <w:color w:val="231F20"/>
          <w:spacing w:val="-4"/>
          <w:w w:val="115"/>
          <w:sz w:val="12"/>
        </w:rPr>
        <w:t>6</w:t>
      </w:r>
    </w:p>
    <w:p w14:paraId="66034FEA" w14:textId="29F5A878" w:rsidR="00E47011" w:rsidRDefault="00E47011">
      <w:pPr>
        <w:spacing w:before="33"/>
        <w:ind w:left="284"/>
        <w:rPr>
          <w:color w:val="231F20"/>
          <w:w w:val="115"/>
          <w:sz w:val="12"/>
        </w:rPr>
      </w:pPr>
      <w:r>
        <w:rPr>
          <w:color w:val="231F20"/>
          <w:w w:val="115"/>
          <w:sz w:val="12"/>
        </w:rPr>
        <w:t>Accepted Date:</w:t>
      </w:r>
      <w:r>
        <w:rPr>
          <w:color w:val="231F20"/>
          <w:spacing w:val="-4"/>
          <w:w w:val="115"/>
          <w:sz w:val="12"/>
        </w:rPr>
        <w:t xml:space="preserve"> </w:t>
      </w:r>
      <w:r w:rsidR="003A6BE8">
        <w:rPr>
          <w:color w:val="231F20"/>
          <w:w w:val="115"/>
          <w:sz w:val="12"/>
        </w:rPr>
        <w:t>12</w:t>
      </w:r>
      <w:r>
        <w:rPr>
          <w:color w:val="231F20"/>
          <w:spacing w:val="-3"/>
          <w:w w:val="115"/>
          <w:sz w:val="12"/>
        </w:rPr>
        <w:t xml:space="preserve"> </w:t>
      </w:r>
      <w:r w:rsidR="00BA7FBB">
        <w:rPr>
          <w:color w:val="231F20"/>
          <w:w w:val="115"/>
          <w:sz w:val="12"/>
        </w:rPr>
        <w:t>February</w:t>
      </w:r>
      <w:r w:rsidR="00A30B70">
        <w:rPr>
          <w:color w:val="231F20"/>
          <w:spacing w:val="-6"/>
          <w:w w:val="115"/>
          <w:sz w:val="12"/>
        </w:rPr>
        <w:t xml:space="preserve"> </w:t>
      </w:r>
      <w:r>
        <w:rPr>
          <w:color w:val="231F20"/>
          <w:spacing w:val="-4"/>
          <w:w w:val="115"/>
          <w:sz w:val="12"/>
        </w:rPr>
        <w:t>20</w:t>
      </w:r>
      <w:r w:rsidR="001B21D9">
        <w:rPr>
          <w:color w:val="231F20"/>
          <w:spacing w:val="-4"/>
          <w:w w:val="115"/>
          <w:sz w:val="12"/>
        </w:rPr>
        <w:t>2</w:t>
      </w:r>
      <w:r w:rsidR="00BA7FBB">
        <w:rPr>
          <w:color w:val="231F20"/>
          <w:spacing w:val="-4"/>
          <w:w w:val="115"/>
          <w:sz w:val="12"/>
        </w:rPr>
        <w:t>6</w:t>
      </w:r>
    </w:p>
    <w:p w14:paraId="55486952" w14:textId="554DDA26" w:rsidR="00524900" w:rsidRDefault="00E47011">
      <w:pPr>
        <w:spacing w:before="33"/>
        <w:ind w:left="284"/>
        <w:rPr>
          <w:color w:val="231F20"/>
          <w:spacing w:val="-4"/>
          <w:w w:val="115"/>
          <w:sz w:val="12"/>
        </w:rPr>
      </w:pPr>
      <w:r>
        <w:rPr>
          <w:color w:val="231F20"/>
          <w:w w:val="115"/>
          <w:sz w:val="12"/>
        </w:rPr>
        <w:t>Published Date:</w:t>
      </w:r>
      <w:r>
        <w:rPr>
          <w:color w:val="231F20"/>
          <w:spacing w:val="-5"/>
          <w:w w:val="115"/>
          <w:sz w:val="12"/>
        </w:rPr>
        <w:t xml:space="preserve"> </w:t>
      </w:r>
      <w:r w:rsidR="003A6BE8">
        <w:rPr>
          <w:w w:val="115"/>
          <w:sz w:val="12"/>
        </w:rPr>
        <w:t>02</w:t>
      </w:r>
      <w:r w:rsidR="00601888" w:rsidRPr="00601888">
        <w:rPr>
          <w:w w:val="115"/>
          <w:sz w:val="12"/>
        </w:rPr>
        <w:t xml:space="preserve"> </w:t>
      </w:r>
      <w:r w:rsidR="00BA7FBB">
        <w:rPr>
          <w:w w:val="115"/>
          <w:sz w:val="12"/>
        </w:rPr>
        <w:t>Ma</w:t>
      </w:r>
      <w:r w:rsidR="00601888" w:rsidRPr="00601888">
        <w:rPr>
          <w:w w:val="115"/>
          <w:sz w:val="12"/>
        </w:rPr>
        <w:t>r</w:t>
      </w:r>
      <w:r w:rsidR="00BA7FBB">
        <w:rPr>
          <w:w w:val="115"/>
          <w:sz w:val="12"/>
        </w:rPr>
        <w:t>ch</w:t>
      </w:r>
      <w:r w:rsidRPr="00601888">
        <w:rPr>
          <w:spacing w:val="-6"/>
          <w:w w:val="115"/>
          <w:sz w:val="12"/>
        </w:rPr>
        <w:t xml:space="preserve"> </w:t>
      </w:r>
      <w:r w:rsidRPr="00601888">
        <w:rPr>
          <w:spacing w:val="-4"/>
          <w:w w:val="115"/>
          <w:sz w:val="12"/>
        </w:rPr>
        <w:t>20</w:t>
      </w:r>
      <w:r w:rsidR="00BA7FBB">
        <w:rPr>
          <w:spacing w:val="-4"/>
          <w:w w:val="115"/>
          <w:sz w:val="12"/>
        </w:rPr>
        <w:t>26</w:t>
      </w:r>
    </w:p>
    <w:p w14:paraId="196F8159" w14:textId="1ACDE2D5" w:rsidR="007A042C" w:rsidRDefault="007A042C">
      <w:pPr>
        <w:spacing w:before="33"/>
        <w:ind w:left="284"/>
        <w:rPr>
          <w:b/>
          <w:bCs/>
          <w:color w:val="231F20"/>
          <w:spacing w:val="-4"/>
          <w:w w:val="115"/>
          <w:sz w:val="12"/>
        </w:rPr>
      </w:pPr>
      <w:r>
        <w:rPr>
          <w:b/>
          <w:bCs/>
          <w:color w:val="231F20"/>
          <w:spacing w:val="-4"/>
          <w:w w:val="115"/>
          <w:sz w:val="12"/>
        </w:rPr>
        <w:t xml:space="preserve">VOLUME: </w:t>
      </w:r>
      <w:r w:rsidR="00BA7FBB">
        <w:rPr>
          <w:color w:val="231F20"/>
          <w:spacing w:val="-4"/>
          <w:w w:val="115"/>
          <w:sz w:val="12"/>
        </w:rPr>
        <w:t>Vol.06 Issue 03</w:t>
      </w:r>
    </w:p>
    <w:p w14:paraId="590581D8" w14:textId="5DE1486D" w:rsidR="00A00A67" w:rsidRDefault="00A00A67">
      <w:pPr>
        <w:spacing w:before="33"/>
        <w:ind w:left="284"/>
        <w:rPr>
          <w:b/>
          <w:bCs/>
          <w:color w:val="231F20"/>
          <w:spacing w:val="-4"/>
          <w:w w:val="115"/>
          <w:sz w:val="12"/>
        </w:rPr>
      </w:pPr>
      <w:r>
        <w:rPr>
          <w:b/>
          <w:bCs/>
          <w:color w:val="231F20"/>
          <w:spacing w:val="-4"/>
          <w:w w:val="115"/>
          <w:sz w:val="12"/>
        </w:rPr>
        <w:t xml:space="preserve">Page No. </w:t>
      </w:r>
      <w:r w:rsidR="009D25A2">
        <w:rPr>
          <w:b/>
          <w:bCs/>
          <w:color w:val="231F20"/>
          <w:spacing w:val="-4"/>
          <w:w w:val="115"/>
          <w:sz w:val="12"/>
        </w:rPr>
        <w:t>7-13</w:t>
      </w:r>
      <w:bookmarkStart w:id="1" w:name="_GoBack"/>
      <w:bookmarkEnd w:id="1"/>
    </w:p>
    <w:p w14:paraId="55FD5943" w14:textId="77777777" w:rsidR="00524900" w:rsidRDefault="00524900">
      <w:pPr>
        <w:pStyle w:val="BodyText"/>
        <w:spacing w:before="81"/>
        <w:rPr>
          <w:sz w:val="12"/>
        </w:rPr>
      </w:pPr>
    </w:p>
    <w:p w14:paraId="4E804403" w14:textId="26A6F1B2" w:rsidR="00524900" w:rsidRDefault="00F32D24" w:rsidP="00E47011">
      <w:pPr>
        <w:spacing w:line="290" w:lineRule="auto"/>
        <w:ind w:left="284" w:right="1284"/>
        <w:rPr>
          <w:sz w:val="12"/>
        </w:rPr>
      </w:pPr>
      <w:r>
        <w:rPr>
          <w:noProof/>
          <w:sz w:val="12"/>
        </w:rPr>
        <mc:AlternateContent>
          <mc:Choice Requires="wps">
            <w:drawing>
              <wp:anchor distT="0" distB="0" distL="0" distR="0" simplePos="0" relativeHeight="15732224" behindDoc="0" locked="0" layoutInCell="1" allowOverlap="1" wp14:anchorId="70968DE0" wp14:editId="6D92EE09">
                <wp:simplePos x="0" y="0"/>
                <wp:positionH relativeFrom="page">
                  <wp:posOffset>539991</wp:posOffset>
                </wp:positionH>
                <wp:positionV relativeFrom="paragraph">
                  <wp:posOffset>-43134</wp:posOffset>
                </wp:positionV>
                <wp:extent cx="1692275" cy="38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810"/>
                        </a:xfrm>
                        <a:custGeom>
                          <a:avLst/>
                          <a:gdLst/>
                          <a:ahLst/>
                          <a:cxnLst/>
                          <a:rect l="l" t="t" r="r" b="b"/>
                          <a:pathLst>
                            <a:path w="1692275" h="3810">
                              <a:moveTo>
                                <a:pt x="1691995" y="0"/>
                              </a:moveTo>
                              <a:lnTo>
                                <a:pt x="0" y="0"/>
                              </a:lnTo>
                              <a:lnTo>
                                <a:pt x="0" y="3606"/>
                              </a:lnTo>
                              <a:lnTo>
                                <a:pt x="1691995" y="3606"/>
                              </a:lnTo>
                              <a:lnTo>
                                <a:pt x="169199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0BDF561B" id="Freeform: Shape 1" o:spid="_x0000_s1026" style="position:absolute;margin-left:42.5pt;margin-top:-3.4pt;width:133.25pt;height:.3pt;z-index:15732224;visibility:visible;mso-wrap-style:square;mso-wrap-distance-left:0;mso-wrap-distance-top:0;mso-wrap-distance-right:0;mso-wrap-distance-bottom:0;mso-position-horizontal:absolute;mso-position-horizontal-relative:page;mso-position-vertical:absolute;mso-position-vertical-relative:text;v-text-anchor:top" coordsize="169227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" path="m1691995,l,,,3606r1691995,l1691995,xe" fillcolor="#231f20" stroked="f">
                <v:path arrowok="t"/>
                <w10:wrap anchorx="page"/>
              </v:shape>
            </w:pict>
          </mc:Fallback>
        </mc:AlternateContent>
      </w:r>
    </w:p>
    <w:p w14:paraId="29BDFBD6" w14:textId="62B616BC" w:rsidR="00524900" w:rsidRDefault="00F32D24">
      <w:pPr>
        <w:spacing w:before="109"/>
        <w:ind w:left="284"/>
        <w:rPr>
          <w:rFonts w:ascii="Trebuchet MS"/>
          <w:sz w:val="18"/>
        </w:rPr>
      </w:pPr>
      <w:r>
        <w:br w:type="column"/>
      </w:r>
      <w:r>
        <w:rPr>
          <w:rFonts w:ascii="Trebuchet MS"/>
          <w:color w:val="231F20"/>
          <w:spacing w:val="25"/>
          <w:sz w:val="18"/>
        </w:rPr>
        <w:t>A</w:t>
      </w:r>
      <w:r>
        <w:rPr>
          <w:rFonts w:ascii="Trebuchet MS"/>
          <w:color w:val="231F20"/>
          <w:spacing w:val="-13"/>
          <w:sz w:val="18"/>
        </w:rPr>
        <w:t xml:space="preserve"> </w:t>
      </w:r>
      <w:r>
        <w:rPr>
          <w:rFonts w:ascii="Trebuchet MS"/>
          <w:color w:val="231F20"/>
          <w:spacing w:val="25"/>
          <w:sz w:val="18"/>
        </w:rPr>
        <w:t>B</w:t>
      </w:r>
      <w:r>
        <w:rPr>
          <w:rFonts w:ascii="Trebuchet MS"/>
          <w:color w:val="231F20"/>
          <w:spacing w:val="-12"/>
          <w:sz w:val="18"/>
        </w:rPr>
        <w:t xml:space="preserve"> </w:t>
      </w:r>
      <w:r>
        <w:rPr>
          <w:rFonts w:ascii="Trebuchet MS"/>
          <w:color w:val="231F20"/>
          <w:spacing w:val="25"/>
          <w:sz w:val="18"/>
        </w:rPr>
        <w:t>S</w:t>
      </w:r>
      <w:r>
        <w:rPr>
          <w:rFonts w:ascii="Trebuchet MS"/>
          <w:color w:val="231F20"/>
          <w:spacing w:val="-12"/>
          <w:sz w:val="18"/>
        </w:rPr>
        <w:t xml:space="preserve"> </w:t>
      </w:r>
      <w:r>
        <w:rPr>
          <w:rFonts w:ascii="Trebuchet MS"/>
          <w:color w:val="231F20"/>
          <w:spacing w:val="25"/>
          <w:sz w:val="18"/>
        </w:rPr>
        <w:t>T</w:t>
      </w:r>
      <w:r>
        <w:rPr>
          <w:rFonts w:ascii="Trebuchet MS"/>
          <w:color w:val="231F20"/>
          <w:spacing w:val="-13"/>
          <w:sz w:val="18"/>
        </w:rPr>
        <w:t xml:space="preserve"> </w:t>
      </w:r>
      <w:r>
        <w:rPr>
          <w:rFonts w:ascii="Trebuchet MS"/>
          <w:color w:val="231F20"/>
          <w:spacing w:val="25"/>
          <w:sz w:val="18"/>
        </w:rPr>
        <w:t>R</w:t>
      </w:r>
      <w:r>
        <w:rPr>
          <w:rFonts w:ascii="Trebuchet MS"/>
          <w:color w:val="231F20"/>
          <w:spacing w:val="-12"/>
          <w:sz w:val="18"/>
        </w:rPr>
        <w:t xml:space="preserve"> </w:t>
      </w:r>
      <w:r>
        <w:rPr>
          <w:rFonts w:ascii="Trebuchet MS"/>
          <w:color w:val="231F20"/>
          <w:spacing w:val="25"/>
          <w:sz w:val="18"/>
        </w:rPr>
        <w:t>A</w:t>
      </w:r>
      <w:r>
        <w:rPr>
          <w:rFonts w:ascii="Trebuchet MS"/>
          <w:color w:val="231F20"/>
          <w:spacing w:val="-12"/>
          <w:sz w:val="18"/>
        </w:rPr>
        <w:t xml:space="preserve"> </w:t>
      </w:r>
      <w:r>
        <w:rPr>
          <w:rFonts w:ascii="Trebuchet MS"/>
          <w:color w:val="231F20"/>
          <w:spacing w:val="25"/>
          <w:sz w:val="18"/>
        </w:rPr>
        <w:t>C</w:t>
      </w:r>
      <w:r>
        <w:rPr>
          <w:rFonts w:ascii="Trebuchet MS"/>
          <w:color w:val="231F20"/>
          <w:spacing w:val="-13"/>
          <w:sz w:val="18"/>
        </w:rPr>
        <w:t xml:space="preserve"> </w:t>
      </w:r>
      <w:r>
        <w:rPr>
          <w:rFonts w:ascii="Trebuchet MS"/>
          <w:color w:val="231F20"/>
          <w:spacing w:val="-10"/>
          <w:sz w:val="18"/>
        </w:rPr>
        <w:t xml:space="preserve">T </w:t>
      </w:r>
    </w:p>
    <w:p w14:paraId="787304EC" w14:textId="77777777" w:rsidR="00524900" w:rsidRDefault="00F32D24">
      <w:pPr>
        <w:pStyle w:val="BodyText"/>
        <w:spacing w:before="6"/>
        <w:rPr>
          <w:rFonts w:ascii="Trebuchet MS"/>
          <w:sz w:val="11"/>
        </w:rPr>
      </w:pPr>
      <w:r>
        <w:rPr>
          <w:rFonts w:ascii="Trebuchet MS"/>
          <w:noProof/>
          <w:sz w:val="11"/>
        </w:rPr>
        <mc:AlternateContent>
          <mc:Choice Requires="wps">
            <w:drawing>
              <wp:anchor distT="0" distB="0" distL="0" distR="0" simplePos="0" relativeHeight="487588864" behindDoc="1" locked="0" layoutInCell="1" allowOverlap="1" wp14:anchorId="2323AA0D" wp14:editId="2A3F722A">
                <wp:simplePos x="0" y="0"/>
                <wp:positionH relativeFrom="page">
                  <wp:posOffset>2627998</wp:posOffset>
                </wp:positionH>
                <wp:positionV relativeFrom="paragraph">
                  <wp:posOffset>100673</wp:posOffset>
                </wp:positionV>
                <wp:extent cx="4504055" cy="381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4055" cy="3810"/>
                        </a:xfrm>
                        <a:custGeom>
                          <a:avLst/>
                          <a:gdLst/>
                          <a:ahLst/>
                          <a:cxnLst/>
                          <a:rect l="l" t="t" r="r" b="b"/>
                          <a:pathLst>
                            <a:path w="4504055" h="3810">
                              <a:moveTo>
                                <a:pt x="4503597" y="0"/>
                              </a:moveTo>
                              <a:lnTo>
                                <a:pt x="0" y="0"/>
                              </a:lnTo>
                              <a:lnTo>
                                <a:pt x="0" y="3596"/>
                              </a:lnTo>
                              <a:lnTo>
                                <a:pt x="4503597" y="3596"/>
                              </a:lnTo>
                              <a:lnTo>
                                <a:pt x="450359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19E84956" id="Freeform: Shape 1" o:spid="_x0000_s1026" style="position:absolute;margin-left:206.95pt;margin-top:7.95pt;width:354.65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450405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" path="m4503597,l,,,3596r4503597,l4503597,xe" fillcolor="#231f20" stroked="f">
                <v:path arrowok="t"/>
                <w10:wrap type="topAndBottom" anchorx="page"/>
              </v:shape>
            </w:pict>
          </mc:Fallback>
        </mc:AlternateContent>
      </w:r>
    </w:p>
    <w:p w14:paraId="115AFE3D" w14:textId="3AAA64C1" w:rsidR="000A33BA" w:rsidRPr="000A33BA" w:rsidRDefault="000A33BA" w:rsidP="000A33BA">
      <w:pPr>
        <w:spacing w:before="50" w:line="285" w:lineRule="auto"/>
        <w:ind w:left="284" w:right="99"/>
        <w:jc w:val="both"/>
        <w:rPr>
          <w:rFonts w:asciiTheme="majorHAnsi" w:hAnsiTheme="majorHAnsi"/>
          <w:sz w:val="20"/>
          <w:szCs w:val="20"/>
        </w:rPr>
      </w:pPr>
      <w:r w:rsidRPr="000A33BA">
        <w:rPr>
          <w:rFonts w:asciiTheme="majorHAnsi" w:hAnsiTheme="majorHAnsi"/>
          <w:sz w:val="20"/>
          <w:szCs w:val="20"/>
        </w:rPr>
        <w:t>The rapid diffusion of generative artificial intelligence (AI) has intensified scholarly and managerial interest in understanding how small and medium-sized enterprises (SMEs) can leverage emerging AI capabilities to enhance organisational performance. While existing research has examined AI adoption drivers and outcomes across manufacturing, services, finance, and IT sectors, the specific mechanisms through which generative AI contributes to sustainable competitive advantage in SMEs remain theoretically fragmented. This study develops a comprehensive, publication-ready conceptual framework integrating the Technology Acceptance Model (TAM), the Technology–</w:t>
      </w:r>
      <w:proofErr w:type="spellStart"/>
      <w:r w:rsidRPr="000A33BA">
        <w:rPr>
          <w:rFonts w:asciiTheme="majorHAnsi" w:hAnsiTheme="majorHAnsi"/>
          <w:sz w:val="20"/>
          <w:szCs w:val="20"/>
        </w:rPr>
        <w:t>Organisation</w:t>
      </w:r>
      <w:proofErr w:type="spellEnd"/>
      <w:r w:rsidRPr="000A33BA">
        <w:rPr>
          <w:rFonts w:asciiTheme="majorHAnsi" w:hAnsiTheme="majorHAnsi"/>
          <w:sz w:val="20"/>
          <w:szCs w:val="20"/>
        </w:rPr>
        <w:t xml:space="preserve">–Environment (TOE) framework, the Resource-Based View (RBV), and digital transformation capability theory. Drawing exclusively from contemporary peer-reviewed scholarship and institutional research, the article </w:t>
      </w:r>
      <w:proofErr w:type="spellStart"/>
      <w:r w:rsidRPr="000A33BA">
        <w:rPr>
          <w:rFonts w:asciiTheme="majorHAnsi" w:hAnsiTheme="majorHAnsi"/>
          <w:sz w:val="20"/>
          <w:szCs w:val="20"/>
        </w:rPr>
        <w:t>synthesises</w:t>
      </w:r>
      <w:proofErr w:type="spellEnd"/>
      <w:r w:rsidRPr="000A33BA">
        <w:rPr>
          <w:rFonts w:asciiTheme="majorHAnsi" w:hAnsiTheme="majorHAnsi"/>
          <w:sz w:val="20"/>
          <w:szCs w:val="20"/>
        </w:rPr>
        <w:t xml:space="preserve"> cross-national evidence from European, Middle Eas</w:t>
      </w:r>
      <w:r>
        <w:rPr>
          <w:rFonts w:asciiTheme="majorHAnsi" w:hAnsiTheme="majorHAnsi"/>
          <w:sz w:val="20"/>
          <w:szCs w:val="20"/>
        </w:rPr>
        <w:t>tern, and Asian SME contexts.</w:t>
      </w:r>
    </w:p>
    <w:p w14:paraId="0057837E" w14:textId="278C218D" w:rsidR="000A33BA" w:rsidRPr="000A33BA" w:rsidRDefault="000A33BA" w:rsidP="000A33BA">
      <w:pPr>
        <w:spacing w:before="50" w:line="285" w:lineRule="auto"/>
        <w:ind w:left="284" w:right="99"/>
        <w:jc w:val="both"/>
        <w:rPr>
          <w:rFonts w:asciiTheme="majorHAnsi" w:hAnsiTheme="majorHAnsi"/>
          <w:sz w:val="20"/>
          <w:szCs w:val="20"/>
        </w:rPr>
      </w:pPr>
      <w:r w:rsidRPr="000A33BA">
        <w:rPr>
          <w:rFonts w:asciiTheme="majorHAnsi" w:hAnsiTheme="majorHAnsi"/>
          <w:sz w:val="20"/>
          <w:szCs w:val="20"/>
        </w:rPr>
        <w:t xml:space="preserve">The analysis demonstrates that generative AI adoption is a multidimensional process shaped by technological readiness, digital maturity, leadership orientation, organisational culture, cybersecurity preparedness, and ethical governance mechanisms. Performance outcomes are </w:t>
      </w:r>
      <w:proofErr w:type="spellStart"/>
      <w:r w:rsidRPr="000A33BA">
        <w:rPr>
          <w:rFonts w:asciiTheme="majorHAnsi" w:hAnsiTheme="majorHAnsi"/>
          <w:sz w:val="20"/>
          <w:szCs w:val="20"/>
        </w:rPr>
        <w:t>conceptualised</w:t>
      </w:r>
      <w:proofErr w:type="spellEnd"/>
      <w:r w:rsidRPr="000A33BA">
        <w:rPr>
          <w:rFonts w:asciiTheme="majorHAnsi" w:hAnsiTheme="majorHAnsi"/>
          <w:sz w:val="20"/>
          <w:szCs w:val="20"/>
        </w:rPr>
        <w:t xml:space="preserve"> broadly, including operational efficiency, </w:t>
      </w:r>
      <w:proofErr w:type="spellStart"/>
      <w:r w:rsidRPr="000A33BA">
        <w:rPr>
          <w:rFonts w:asciiTheme="majorHAnsi" w:hAnsiTheme="majorHAnsi"/>
          <w:sz w:val="20"/>
          <w:szCs w:val="20"/>
        </w:rPr>
        <w:t>labour</w:t>
      </w:r>
      <w:proofErr w:type="spellEnd"/>
      <w:r w:rsidRPr="000A33BA">
        <w:rPr>
          <w:rFonts w:asciiTheme="majorHAnsi" w:hAnsiTheme="majorHAnsi"/>
          <w:sz w:val="20"/>
          <w:szCs w:val="20"/>
        </w:rPr>
        <w:t xml:space="preserve"> productivity, innovation capability, customer engagement, revenue growth, and strategic agility. Ethical governance and trust-building architectures are identified as critical moderators that significantly influence the magnitude and sustainability of AI-driven performance gains. SMEs with higher digital maturity and knowledge management capacity are more likely to convert AI investments into mea</w:t>
      </w:r>
      <w:r>
        <w:rPr>
          <w:rFonts w:asciiTheme="majorHAnsi" w:hAnsiTheme="majorHAnsi"/>
          <w:sz w:val="20"/>
          <w:szCs w:val="20"/>
        </w:rPr>
        <w:t>surable competitive advantage.</w:t>
      </w:r>
    </w:p>
    <w:p w14:paraId="35864C38" w14:textId="385C3923" w:rsidR="005523FF" w:rsidRPr="00E647B0" w:rsidRDefault="000A33BA" w:rsidP="000A33BA">
      <w:pPr>
        <w:spacing w:before="50" w:line="285" w:lineRule="auto"/>
        <w:ind w:left="284" w:right="99"/>
        <w:jc w:val="both"/>
        <w:rPr>
          <w:rFonts w:asciiTheme="majorHAnsi" w:hAnsiTheme="majorHAnsi" w:cstheme="minorHAnsi"/>
          <w:color w:val="231F20"/>
          <w:spacing w:val="-2"/>
          <w:w w:val="120"/>
          <w:sz w:val="20"/>
          <w:szCs w:val="20"/>
        </w:rPr>
      </w:pPr>
      <w:r w:rsidRPr="000A33BA">
        <w:rPr>
          <w:rFonts w:asciiTheme="majorHAnsi" w:hAnsiTheme="majorHAnsi"/>
          <w:sz w:val="20"/>
          <w:szCs w:val="20"/>
        </w:rPr>
        <w:t xml:space="preserve">The study contributes to theory by proposing an integrated generative AI performance architecture that reconciles </w:t>
      </w:r>
      <w:proofErr w:type="spellStart"/>
      <w:r w:rsidRPr="000A33BA">
        <w:rPr>
          <w:rFonts w:asciiTheme="majorHAnsi" w:hAnsiTheme="majorHAnsi"/>
          <w:sz w:val="20"/>
          <w:szCs w:val="20"/>
        </w:rPr>
        <w:t>behavioural</w:t>
      </w:r>
      <w:proofErr w:type="spellEnd"/>
      <w:r w:rsidRPr="000A33BA">
        <w:rPr>
          <w:rFonts w:asciiTheme="majorHAnsi" w:hAnsiTheme="majorHAnsi"/>
          <w:sz w:val="20"/>
          <w:szCs w:val="20"/>
        </w:rPr>
        <w:t xml:space="preserve"> acceptance, </w:t>
      </w:r>
      <w:proofErr w:type="spellStart"/>
      <w:r w:rsidRPr="000A33BA">
        <w:rPr>
          <w:rFonts w:asciiTheme="majorHAnsi" w:hAnsiTheme="majorHAnsi"/>
          <w:sz w:val="20"/>
          <w:szCs w:val="20"/>
        </w:rPr>
        <w:t>organisational</w:t>
      </w:r>
      <w:proofErr w:type="spellEnd"/>
      <w:r w:rsidRPr="000A33BA">
        <w:rPr>
          <w:rFonts w:asciiTheme="majorHAnsi" w:hAnsiTheme="majorHAnsi"/>
          <w:sz w:val="20"/>
          <w:szCs w:val="20"/>
        </w:rPr>
        <w:t xml:space="preserve"> readiness, environmental pressures, and capability orchestration into a unified explanatory model. It further advances understanding of generative AI as a structural transformation mechanism rather than a standalone technological tool. Practical implications are offered for SME managers, policymakers, and digital ecosystem stakeholders seeking to foster responsible and performance-oriented AI integration.</w:t>
      </w:r>
    </w:p>
    <w:p w14:paraId="5D1359D2" w14:textId="5DC495C3" w:rsidR="00632E9F" w:rsidRPr="00E647B0" w:rsidRDefault="00632E9F" w:rsidP="00A1724F">
      <w:pPr>
        <w:spacing w:before="50" w:line="285" w:lineRule="auto"/>
        <w:ind w:left="284" w:right="99"/>
        <w:jc w:val="both"/>
        <w:rPr>
          <w:rFonts w:asciiTheme="majorHAnsi" w:hAnsiTheme="majorHAnsi" w:cstheme="minorHAnsi"/>
          <w:color w:val="231F20"/>
          <w:spacing w:val="-2"/>
          <w:w w:val="120"/>
          <w:sz w:val="20"/>
          <w:szCs w:val="20"/>
        </w:rPr>
        <w:sectPr w:rsidR="00632E9F" w:rsidRPr="00E647B0" w:rsidSect="005D0DFF">
          <w:type w:val="continuous"/>
          <w:pgSz w:w="11910" w:h="15880"/>
          <w:pgMar w:top="640" w:right="566" w:bottom="280" w:left="566" w:header="0" w:footer="340" w:gutter="0"/>
          <w:cols w:num="2" w:space="720" w:equalWidth="0">
            <w:col w:w="2304" w:space="984"/>
            <w:col w:w="7490"/>
          </w:cols>
          <w:docGrid w:linePitch="299"/>
        </w:sectPr>
      </w:pPr>
      <w:r w:rsidRPr="00E647B0">
        <w:rPr>
          <w:rFonts w:asciiTheme="majorHAnsi" w:hAnsiTheme="majorHAnsi" w:cstheme="minorHAnsi"/>
          <w:color w:val="231F20"/>
          <w:spacing w:val="-2"/>
          <w:w w:val="120"/>
          <w:sz w:val="20"/>
          <w:szCs w:val="20"/>
        </w:rPr>
        <w:t xml:space="preserve">               </w:t>
      </w:r>
    </w:p>
    <w:p w14:paraId="7D971256" w14:textId="2F30FA49" w:rsidR="00601888" w:rsidRPr="00E647B0" w:rsidRDefault="00E47011" w:rsidP="00C86D9D">
      <w:pPr>
        <w:spacing w:before="50" w:line="285" w:lineRule="auto"/>
        <w:ind w:left="3458" w:right="-113"/>
        <w:rPr>
          <w:rFonts w:asciiTheme="majorHAnsi" w:hAnsiTheme="majorHAnsi" w:cstheme="minorHAnsi"/>
          <w:color w:val="231F20"/>
          <w:spacing w:val="-2"/>
          <w:w w:val="120"/>
          <w:sz w:val="20"/>
          <w:szCs w:val="20"/>
        </w:rPr>
        <w:sectPr w:rsidR="00601888" w:rsidRPr="00E647B0" w:rsidSect="003E6475">
          <w:type w:val="continuous"/>
          <w:pgSz w:w="11910" w:h="15880"/>
          <w:pgMar w:top="640" w:right="566" w:bottom="280" w:left="566" w:header="0" w:footer="0" w:gutter="0"/>
          <w:cols w:space="708"/>
        </w:sectPr>
      </w:pPr>
      <w:r w:rsidRPr="00E647B0">
        <w:rPr>
          <w:rFonts w:asciiTheme="majorHAnsi" w:hAnsiTheme="majorHAnsi" w:cstheme="minorHAnsi"/>
          <w:b/>
          <w:color w:val="231F20"/>
          <w:spacing w:val="-2"/>
          <w:w w:val="120"/>
          <w:sz w:val="20"/>
          <w:szCs w:val="20"/>
        </w:rPr>
        <w:lastRenderedPageBreak/>
        <w:t>Keywords:</w:t>
      </w:r>
      <w:r w:rsidR="003E6475" w:rsidRPr="00E647B0">
        <w:rPr>
          <w:rFonts w:asciiTheme="majorHAnsi" w:hAnsiTheme="majorHAnsi" w:cstheme="minorHAnsi"/>
          <w:sz w:val="20"/>
          <w:szCs w:val="20"/>
        </w:rPr>
        <w:t xml:space="preserve"> </w:t>
      </w:r>
      <w:r w:rsidR="000A33BA" w:rsidRPr="000A33BA">
        <w:rPr>
          <w:rFonts w:asciiTheme="majorHAnsi" w:hAnsiTheme="majorHAnsi" w:cstheme="minorHAnsi"/>
          <w:color w:val="231F20"/>
          <w:spacing w:val="-2"/>
          <w:w w:val="120"/>
          <w:sz w:val="20"/>
          <w:szCs w:val="20"/>
        </w:rPr>
        <w:t>Generative Artificial Intelligence, SME Digital Transformation, Organisational Performance, Technology Adoption, Ethical Governance, TOE Framework, Resource-Based View</w:t>
      </w:r>
    </w:p>
    <w:p w14:paraId="1792EBBC" w14:textId="2717F026" w:rsidR="00524900" w:rsidRPr="00E647B0" w:rsidRDefault="003E6475" w:rsidP="00A1724F">
      <w:pPr>
        <w:spacing w:before="50" w:line="285" w:lineRule="auto"/>
        <w:ind w:left="288" w:right="99"/>
        <w:jc w:val="both"/>
        <w:rPr>
          <w:rFonts w:asciiTheme="majorHAnsi" w:hAnsiTheme="majorHAnsi"/>
          <w:sz w:val="20"/>
          <w:szCs w:val="20"/>
        </w:rPr>
        <w:sectPr w:rsidR="00524900" w:rsidRPr="00E647B0">
          <w:type w:val="continuous"/>
          <w:pgSz w:w="11910" w:h="15880"/>
          <w:pgMar w:top="640" w:right="566" w:bottom="280" w:left="566" w:header="0" w:footer="0" w:gutter="0"/>
          <w:cols w:space="720"/>
        </w:sectPr>
      </w:pPr>
      <w:r w:rsidRPr="00E647B0">
        <w:rPr>
          <w:rFonts w:asciiTheme="majorHAnsi" w:hAnsiTheme="majorHAnsi"/>
          <w:noProof/>
          <w:sz w:val="20"/>
          <w:szCs w:val="20"/>
        </w:rPr>
        <mc:AlternateContent>
          <mc:Choice Requires="wps">
            <w:drawing>
              <wp:anchor distT="0" distB="0" distL="0" distR="0" simplePos="0" relativeHeight="487589376" behindDoc="1" locked="0" layoutInCell="1" allowOverlap="1" wp14:anchorId="5F0B8CFF" wp14:editId="6CA6CE7F">
                <wp:simplePos x="0" y="0"/>
                <wp:positionH relativeFrom="page">
                  <wp:posOffset>539750</wp:posOffset>
                </wp:positionH>
                <wp:positionV relativeFrom="paragraph">
                  <wp:posOffset>50800</wp:posOffset>
                </wp:positionV>
                <wp:extent cx="6591300" cy="317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3175"/>
                        </a:xfrm>
                        <a:custGeom>
                          <a:avLst/>
                          <a:gdLst/>
                          <a:ahLst/>
                          <a:cxnLst/>
                          <a:rect l="l" t="t" r="r" b="b"/>
                          <a:pathLst>
                            <a:path w="6591934" h="3175">
                              <a:moveTo>
                                <a:pt x="6591605" y="0"/>
                              </a:moveTo>
                              <a:lnTo>
                                <a:pt x="2091601" y="0"/>
                              </a:lnTo>
                              <a:lnTo>
                                <a:pt x="2088007" y="0"/>
                              </a:lnTo>
                              <a:lnTo>
                                <a:pt x="0" y="0"/>
                              </a:lnTo>
                              <a:lnTo>
                                <a:pt x="0" y="2870"/>
                              </a:lnTo>
                              <a:lnTo>
                                <a:pt x="2088007" y="2870"/>
                              </a:lnTo>
                              <a:lnTo>
                                <a:pt x="2091601" y="2870"/>
                              </a:lnTo>
                              <a:lnTo>
                                <a:pt x="6591605" y="2870"/>
                              </a:lnTo>
                              <a:lnTo>
                                <a:pt x="659160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893A2D" id="Graphic 13" o:spid="_x0000_s1026" style="position:absolute;margin-left:42.5pt;margin-top:4pt;width:519pt;height:.25pt;z-index:-15727104;visibility:visible;mso-wrap-style:square;mso-wrap-distance-left:0;mso-wrap-distance-top:0;mso-wrap-distance-right:0;mso-wrap-distance-bottom:0;mso-position-horizontal:absolute;mso-position-horizontal-relative:page;mso-position-vertical:absolute;mso-position-vertical-relative:text;v-text-anchor:top" coordsize="659193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" path="m6591605,l2091601,r-3594,l,,,2870r2088007,l2091601,2870r4500004,l6591605,xe" fillcolor="#231f20" stroked="f">
                <v:path arrowok="t"/>
                <w10:wrap type="topAndBottom" anchorx="page"/>
              </v:shape>
            </w:pict>
          </mc:Fallback>
        </mc:AlternateContent>
      </w:r>
    </w:p>
    <w:p w14:paraId="7A6A3A20" w14:textId="65C31158" w:rsidR="00524900" w:rsidRPr="00E647B0" w:rsidRDefault="004D2F64" w:rsidP="00601888">
      <w:pPr>
        <w:tabs>
          <w:tab w:val="left" w:pos="453"/>
        </w:tabs>
        <w:spacing w:before="77"/>
        <w:ind w:right="101"/>
        <w:rPr>
          <w:rFonts w:asciiTheme="majorHAnsi" w:hAnsiTheme="majorHAnsi"/>
          <w:b/>
          <w:bCs/>
          <w:sz w:val="20"/>
          <w:szCs w:val="20"/>
        </w:rPr>
      </w:pPr>
      <w:bookmarkStart w:id="2" w:name="1._Introduction"/>
      <w:bookmarkEnd w:id="2"/>
      <w:r w:rsidRPr="00E647B0">
        <w:rPr>
          <w:rFonts w:asciiTheme="majorHAnsi" w:hAnsiTheme="majorHAnsi"/>
          <w:b/>
          <w:bCs/>
          <w:color w:val="231F20"/>
          <w:spacing w:val="-2"/>
          <w:w w:val="120"/>
          <w:sz w:val="20"/>
          <w:szCs w:val="20"/>
        </w:rPr>
        <w:t>INTRODUCTION</w:t>
      </w:r>
    </w:p>
    <w:p w14:paraId="2C914B30" w14:textId="77777777" w:rsidR="004D2F64" w:rsidRPr="00E647B0" w:rsidRDefault="004D2F64" w:rsidP="004D2F64">
      <w:pPr>
        <w:pStyle w:val="BodyText"/>
        <w:spacing w:line="273" w:lineRule="auto"/>
        <w:ind w:left="288" w:right="101"/>
        <w:jc w:val="both"/>
        <w:rPr>
          <w:rFonts w:asciiTheme="majorHAnsi" w:hAnsiTheme="majorHAnsi"/>
          <w:color w:val="231F20"/>
          <w:w w:val="115"/>
          <w:sz w:val="20"/>
          <w:szCs w:val="20"/>
        </w:rPr>
        <w:sectPr w:rsidR="004D2F64" w:rsidRPr="00E647B0" w:rsidSect="004D2F64">
          <w:type w:val="continuous"/>
          <w:pgSz w:w="11910" w:h="15880"/>
          <w:pgMar w:top="640" w:right="566" w:bottom="280" w:left="566" w:header="0" w:footer="0" w:gutter="0"/>
          <w:cols w:num="2" w:space="115"/>
        </w:sectPr>
      </w:pPr>
    </w:p>
    <w:p w14:paraId="7CEF46CC"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Small and medium-sized enterprises (SMEs) represent the structural foundation of national economies, accounting for substantial shares of employment generation, innovation diffusion, and regional development (</w:t>
      </w:r>
      <w:proofErr w:type="spellStart"/>
      <w:r w:rsidRPr="000A33BA">
        <w:rPr>
          <w:rFonts w:asciiTheme="majorHAnsi" w:hAnsiTheme="majorHAnsi"/>
          <w:color w:val="231F20"/>
          <w:w w:val="115"/>
          <w:sz w:val="20"/>
          <w:szCs w:val="20"/>
        </w:rPr>
        <w:t>Ardic</w:t>
      </w:r>
      <w:proofErr w:type="spellEnd"/>
      <w:r w:rsidRPr="000A33BA">
        <w:rPr>
          <w:rFonts w:asciiTheme="majorHAnsi" w:hAnsiTheme="majorHAnsi"/>
          <w:color w:val="231F20"/>
          <w:w w:val="115"/>
          <w:sz w:val="20"/>
          <w:szCs w:val="20"/>
        </w:rPr>
        <w:t xml:space="preserve">, </w:t>
      </w:r>
      <w:proofErr w:type="spellStart"/>
      <w:r w:rsidRPr="000A33BA">
        <w:rPr>
          <w:rFonts w:asciiTheme="majorHAnsi" w:hAnsiTheme="majorHAnsi"/>
          <w:color w:val="231F20"/>
          <w:w w:val="115"/>
          <w:sz w:val="20"/>
          <w:szCs w:val="20"/>
        </w:rPr>
        <w:t>Mylenko</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Saltane</w:t>
      </w:r>
      <w:proofErr w:type="spellEnd"/>
      <w:r w:rsidRPr="000A33BA">
        <w:rPr>
          <w:rFonts w:asciiTheme="majorHAnsi" w:hAnsiTheme="majorHAnsi"/>
          <w:color w:val="231F20"/>
          <w:w w:val="115"/>
          <w:sz w:val="20"/>
          <w:szCs w:val="20"/>
        </w:rPr>
        <w:t>, 2011). Yet, despite their economic centrality, SMEs frequently confront structural disadvantages relative to large corporations, including limited access to capital, constrained technological infrastructure, and lower absorptive capacity for advanced digital technologies. The emergence of generative artificial intelligence has reconfigured the digital transformation landscape by introducing systems capable of autonomous content generation, predictive analytics, and adaptive decision-making at unprecedented scale. For SMEs, this transformation presents both an opportunity to leapfrog competitive barriers and a risk of technological misalignment if adoption is not strategically orchestrated.</w:t>
      </w:r>
    </w:p>
    <w:p w14:paraId="027C0ACE"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Generative AI differs from earlier waves of automation in two critical respects. First, it operates not merely as a process-</w:t>
      </w:r>
      <w:proofErr w:type="spellStart"/>
      <w:r w:rsidRPr="000A33BA">
        <w:rPr>
          <w:rFonts w:asciiTheme="majorHAnsi" w:hAnsiTheme="majorHAnsi"/>
          <w:color w:val="231F20"/>
          <w:w w:val="115"/>
          <w:sz w:val="20"/>
          <w:szCs w:val="20"/>
        </w:rPr>
        <w:t>optimisation</w:t>
      </w:r>
      <w:proofErr w:type="spellEnd"/>
      <w:r w:rsidRPr="000A33BA">
        <w:rPr>
          <w:rFonts w:asciiTheme="majorHAnsi" w:hAnsiTheme="majorHAnsi"/>
          <w:color w:val="231F20"/>
          <w:w w:val="115"/>
          <w:sz w:val="20"/>
          <w:szCs w:val="20"/>
        </w:rPr>
        <w:t xml:space="preserve"> tool but as a cognitive augmentation mechanism capable of generating marketing content, financial forecasts, customer interactions, and operational insights. Second, it directly interfaces with external stakeholders, raising ethical, transparency, and accountability concerns. Recent empirical evidence from IT and </w:t>
      </w:r>
      <w:proofErr w:type="spellStart"/>
      <w:r w:rsidRPr="000A33BA">
        <w:rPr>
          <w:rFonts w:asciiTheme="majorHAnsi" w:hAnsiTheme="majorHAnsi"/>
          <w:color w:val="231F20"/>
          <w:w w:val="115"/>
          <w:sz w:val="20"/>
          <w:szCs w:val="20"/>
        </w:rPr>
        <w:t>ITeS</w:t>
      </w:r>
      <w:proofErr w:type="spellEnd"/>
      <w:r w:rsidRPr="000A33BA">
        <w:rPr>
          <w:rFonts w:asciiTheme="majorHAnsi" w:hAnsiTheme="majorHAnsi"/>
          <w:color w:val="231F20"/>
          <w:w w:val="115"/>
          <w:sz w:val="20"/>
          <w:szCs w:val="20"/>
        </w:rPr>
        <w:t xml:space="preserve"> firms demonstrates that the performance impact of generative AI adoption is significantly mediated by ethical considerations and governance frameworks (Rana et al., 2024). This suggests that technological adoption alone is insufficient; institutional and organisational alignment are equally decisive.</w:t>
      </w:r>
    </w:p>
    <w:p w14:paraId="6BB73CB4"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Cross-national evidence underscores heterogeneous readiness levels. Lithuanian SMEs exhibit sectoral disparities in AI preparedness (</w:t>
      </w:r>
      <w:proofErr w:type="spellStart"/>
      <w:r w:rsidRPr="000A33BA">
        <w:rPr>
          <w:rFonts w:asciiTheme="majorHAnsi" w:hAnsiTheme="majorHAnsi"/>
          <w:color w:val="231F20"/>
          <w:w w:val="115"/>
          <w:sz w:val="20"/>
          <w:szCs w:val="20"/>
        </w:rPr>
        <w:t>Rutkauskas</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Stankevicius</w:t>
      </w:r>
      <w:proofErr w:type="spellEnd"/>
      <w:r w:rsidRPr="000A33BA">
        <w:rPr>
          <w:rFonts w:asciiTheme="majorHAnsi" w:hAnsiTheme="majorHAnsi"/>
          <w:color w:val="231F20"/>
          <w:w w:val="115"/>
          <w:sz w:val="20"/>
          <w:szCs w:val="20"/>
        </w:rPr>
        <w:t>, 2023), while Portuguese SMEs perceive AI as an ecosystem-enabled growth opportunity (Santos &amp; Pereira, 2023). Polish SMEs display regional variation in operational efficiency outcomes following AI implementation (</w:t>
      </w:r>
      <w:proofErr w:type="spellStart"/>
      <w:r w:rsidRPr="000A33BA">
        <w:rPr>
          <w:rFonts w:asciiTheme="majorHAnsi" w:hAnsiTheme="majorHAnsi"/>
          <w:color w:val="231F20"/>
          <w:w w:val="115"/>
          <w:sz w:val="20"/>
          <w:szCs w:val="20"/>
        </w:rPr>
        <w:t>Tomaszewski</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Grabowska</w:t>
      </w:r>
      <w:proofErr w:type="spellEnd"/>
      <w:r w:rsidRPr="000A33BA">
        <w:rPr>
          <w:rFonts w:asciiTheme="majorHAnsi" w:hAnsiTheme="majorHAnsi"/>
          <w:color w:val="231F20"/>
          <w:w w:val="115"/>
          <w:sz w:val="20"/>
          <w:szCs w:val="20"/>
        </w:rPr>
        <w:t xml:space="preserve">, 2024). Turkish manufacturing SMEs demonstrate competitive advantage through AI integration when strategic alignment is present (Yilmaz &amp; </w:t>
      </w:r>
      <w:proofErr w:type="spellStart"/>
      <w:r w:rsidRPr="000A33BA">
        <w:rPr>
          <w:rFonts w:asciiTheme="majorHAnsi" w:hAnsiTheme="majorHAnsi"/>
          <w:color w:val="231F20"/>
          <w:w w:val="115"/>
          <w:sz w:val="20"/>
          <w:szCs w:val="20"/>
        </w:rPr>
        <w:t>Demir</w:t>
      </w:r>
      <w:proofErr w:type="spellEnd"/>
      <w:r w:rsidRPr="000A33BA">
        <w:rPr>
          <w:rFonts w:asciiTheme="majorHAnsi" w:hAnsiTheme="majorHAnsi"/>
          <w:color w:val="231F20"/>
          <w:w w:val="115"/>
          <w:sz w:val="20"/>
          <w:szCs w:val="20"/>
        </w:rPr>
        <w:t>, 2023). Such diversity indicates that contextual contingencies profoundly shape AI-driven outcomes.</w:t>
      </w:r>
    </w:p>
    <w:p w14:paraId="6FA0A440"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Large-scale empirical analysis across the European Union involving over twelve thousand SMEs reveals uneven AI adoption patterns influenced by industry characteristics and digital infrastructure (</w:t>
      </w:r>
      <w:proofErr w:type="spellStart"/>
      <w:r w:rsidRPr="000A33BA">
        <w:rPr>
          <w:rFonts w:asciiTheme="majorHAnsi" w:hAnsiTheme="majorHAnsi"/>
          <w:color w:val="231F20"/>
          <w:w w:val="115"/>
          <w:sz w:val="20"/>
          <w:szCs w:val="20"/>
        </w:rPr>
        <w:t>Arroyabe</w:t>
      </w:r>
      <w:proofErr w:type="spellEnd"/>
      <w:r w:rsidRPr="000A33BA">
        <w:rPr>
          <w:rFonts w:asciiTheme="majorHAnsi" w:hAnsiTheme="majorHAnsi"/>
          <w:color w:val="231F20"/>
          <w:w w:val="115"/>
          <w:sz w:val="20"/>
          <w:szCs w:val="20"/>
        </w:rPr>
        <w:t xml:space="preserve"> et al., 2024). Similarly, Jordanian SMEs show that technological and organisational orientations significantly affect AI assimilation (</w:t>
      </w:r>
      <w:proofErr w:type="spellStart"/>
      <w:r w:rsidRPr="000A33BA">
        <w:rPr>
          <w:rFonts w:asciiTheme="majorHAnsi" w:hAnsiTheme="majorHAnsi"/>
          <w:color w:val="231F20"/>
          <w:w w:val="115"/>
          <w:sz w:val="20"/>
          <w:szCs w:val="20"/>
        </w:rPr>
        <w:t>Almashawreh</w:t>
      </w:r>
      <w:proofErr w:type="spellEnd"/>
      <w:r w:rsidRPr="000A33BA">
        <w:rPr>
          <w:rFonts w:asciiTheme="majorHAnsi" w:hAnsiTheme="majorHAnsi"/>
          <w:color w:val="231F20"/>
          <w:w w:val="115"/>
          <w:sz w:val="20"/>
          <w:szCs w:val="20"/>
        </w:rPr>
        <w:t xml:space="preserve"> et al., 2024). These findings collectively highlight the necessity of a comprehensive theoretical lens capable of integrating technological, organisational, and environmental determinants.</w:t>
      </w:r>
    </w:p>
    <w:p w14:paraId="00CA1A86"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From a performance standpoint, AI investments have been associated with enhanced </w:t>
      </w:r>
      <w:proofErr w:type="spellStart"/>
      <w:r w:rsidRPr="000A33BA">
        <w:rPr>
          <w:rFonts w:asciiTheme="majorHAnsi" w:hAnsiTheme="majorHAnsi"/>
          <w:color w:val="231F20"/>
          <w:w w:val="115"/>
          <w:sz w:val="20"/>
          <w:szCs w:val="20"/>
        </w:rPr>
        <w:t>labour</w:t>
      </w:r>
      <w:proofErr w:type="spellEnd"/>
      <w:r w:rsidRPr="000A33BA">
        <w:rPr>
          <w:rFonts w:asciiTheme="majorHAnsi" w:hAnsiTheme="majorHAnsi"/>
          <w:color w:val="231F20"/>
          <w:w w:val="115"/>
          <w:sz w:val="20"/>
          <w:szCs w:val="20"/>
        </w:rPr>
        <w:t xml:space="preserve"> productivity (</w:t>
      </w:r>
      <w:proofErr w:type="spellStart"/>
      <w:r w:rsidRPr="000A33BA">
        <w:rPr>
          <w:rFonts w:asciiTheme="majorHAnsi" w:hAnsiTheme="majorHAnsi"/>
          <w:color w:val="231F20"/>
          <w:w w:val="115"/>
          <w:sz w:val="20"/>
          <w:szCs w:val="20"/>
        </w:rPr>
        <w:t>Damioli</w:t>
      </w:r>
      <w:proofErr w:type="spellEnd"/>
      <w:r w:rsidRPr="000A33BA">
        <w:rPr>
          <w:rFonts w:asciiTheme="majorHAnsi" w:hAnsiTheme="majorHAnsi"/>
          <w:color w:val="231F20"/>
          <w:w w:val="115"/>
          <w:sz w:val="20"/>
          <w:szCs w:val="20"/>
        </w:rPr>
        <w:t xml:space="preserve">, Van Roy, &amp; </w:t>
      </w:r>
      <w:proofErr w:type="spellStart"/>
      <w:r w:rsidRPr="000A33BA">
        <w:rPr>
          <w:rFonts w:asciiTheme="majorHAnsi" w:hAnsiTheme="majorHAnsi"/>
          <w:color w:val="231F20"/>
          <w:w w:val="115"/>
          <w:sz w:val="20"/>
          <w:szCs w:val="20"/>
        </w:rPr>
        <w:t>Vertesy</w:t>
      </w:r>
      <w:proofErr w:type="spellEnd"/>
      <w:r w:rsidRPr="000A33BA">
        <w:rPr>
          <w:rFonts w:asciiTheme="majorHAnsi" w:hAnsiTheme="majorHAnsi"/>
          <w:color w:val="231F20"/>
          <w:w w:val="115"/>
          <w:sz w:val="20"/>
          <w:szCs w:val="20"/>
        </w:rPr>
        <w:t>, 2021) and improved firm-level productivity (</w:t>
      </w:r>
      <w:proofErr w:type="spellStart"/>
      <w:r w:rsidRPr="000A33BA">
        <w:rPr>
          <w:rFonts w:asciiTheme="majorHAnsi" w:hAnsiTheme="majorHAnsi"/>
          <w:color w:val="231F20"/>
          <w:w w:val="115"/>
          <w:sz w:val="20"/>
          <w:szCs w:val="20"/>
        </w:rPr>
        <w:t>Czarnitzki</w:t>
      </w:r>
      <w:proofErr w:type="spellEnd"/>
      <w:r w:rsidRPr="000A33BA">
        <w:rPr>
          <w:rFonts w:asciiTheme="majorHAnsi" w:hAnsiTheme="majorHAnsi"/>
          <w:color w:val="231F20"/>
          <w:w w:val="115"/>
          <w:sz w:val="20"/>
          <w:szCs w:val="20"/>
        </w:rPr>
        <w:t xml:space="preserve">, </w:t>
      </w:r>
      <w:proofErr w:type="spellStart"/>
      <w:r w:rsidRPr="000A33BA">
        <w:rPr>
          <w:rFonts w:asciiTheme="majorHAnsi" w:hAnsiTheme="majorHAnsi"/>
          <w:color w:val="231F20"/>
          <w:w w:val="115"/>
          <w:sz w:val="20"/>
          <w:szCs w:val="20"/>
        </w:rPr>
        <w:t>Fernández</w:t>
      </w:r>
      <w:proofErr w:type="spellEnd"/>
      <w:r w:rsidRPr="000A33BA">
        <w:rPr>
          <w:rFonts w:asciiTheme="majorHAnsi" w:hAnsiTheme="majorHAnsi"/>
          <w:color w:val="231F20"/>
          <w:w w:val="115"/>
          <w:sz w:val="20"/>
          <w:szCs w:val="20"/>
        </w:rPr>
        <w:t>, &amp; Rammer, 2023). Operational performance improvements are reported in contexts where big data analytics and AI platforms are strategically deployed (Chen et al., 2024). Industry reports further suggest revenue acceleration among AI-adopting SMEs (Salesforce, 2024). However, not all adoption efforts yield positive returns, particularly where digital maturity is low (</w:t>
      </w:r>
      <w:proofErr w:type="spellStart"/>
      <w:r w:rsidRPr="000A33BA">
        <w:rPr>
          <w:rFonts w:asciiTheme="majorHAnsi" w:hAnsiTheme="majorHAnsi"/>
          <w:color w:val="231F20"/>
          <w:w w:val="115"/>
          <w:sz w:val="20"/>
          <w:szCs w:val="20"/>
        </w:rPr>
        <w:t>Brătucu</w:t>
      </w:r>
      <w:proofErr w:type="spellEnd"/>
      <w:r w:rsidRPr="000A33BA">
        <w:rPr>
          <w:rFonts w:asciiTheme="majorHAnsi" w:hAnsiTheme="majorHAnsi"/>
          <w:color w:val="231F20"/>
          <w:w w:val="115"/>
          <w:sz w:val="20"/>
          <w:szCs w:val="20"/>
        </w:rPr>
        <w:t xml:space="preserve"> et al., 2024) or organisational culture resists technological change (Sarkar &amp; Dutta, 2023).</w:t>
      </w:r>
    </w:p>
    <w:p w14:paraId="6468301D"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The literature reveals three persistent gaps. First, theoretical fragmentation limits holistic understanding of how generative AI adoption translates into organisational performance in SMEs. Second, ethical governance remains under-</w:t>
      </w:r>
      <w:proofErr w:type="spellStart"/>
      <w:r w:rsidRPr="000A33BA">
        <w:rPr>
          <w:rFonts w:asciiTheme="majorHAnsi" w:hAnsiTheme="majorHAnsi"/>
          <w:color w:val="231F20"/>
          <w:w w:val="115"/>
          <w:sz w:val="20"/>
          <w:szCs w:val="20"/>
        </w:rPr>
        <w:t>theorised</w:t>
      </w:r>
      <w:proofErr w:type="spellEnd"/>
      <w:r w:rsidRPr="000A33BA">
        <w:rPr>
          <w:rFonts w:asciiTheme="majorHAnsi" w:hAnsiTheme="majorHAnsi"/>
          <w:color w:val="231F20"/>
          <w:w w:val="115"/>
          <w:sz w:val="20"/>
          <w:szCs w:val="20"/>
        </w:rPr>
        <w:t xml:space="preserve"> in adoption–performance linkages. Third, generative AI introduces unique trust and </w:t>
      </w:r>
      <w:proofErr w:type="spellStart"/>
      <w:r w:rsidRPr="000A33BA">
        <w:rPr>
          <w:rFonts w:asciiTheme="majorHAnsi" w:hAnsiTheme="majorHAnsi"/>
          <w:color w:val="231F20"/>
          <w:w w:val="115"/>
          <w:sz w:val="20"/>
          <w:szCs w:val="20"/>
        </w:rPr>
        <w:t>explainability</w:t>
      </w:r>
      <w:proofErr w:type="spellEnd"/>
      <w:r w:rsidRPr="000A33BA">
        <w:rPr>
          <w:rFonts w:asciiTheme="majorHAnsi" w:hAnsiTheme="majorHAnsi"/>
          <w:color w:val="231F20"/>
          <w:w w:val="115"/>
          <w:sz w:val="20"/>
          <w:szCs w:val="20"/>
        </w:rPr>
        <w:t xml:space="preserve"> challenges that extend beyond conventional AI implementation research (Crockett et al., 2021).</w:t>
      </w:r>
    </w:p>
    <w:p w14:paraId="0C0AB38A"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This study therefore advances a unified theoretical framework integrating TAM (Davis, </w:t>
      </w:r>
      <w:proofErr w:type="spellStart"/>
      <w:r w:rsidRPr="000A33BA">
        <w:rPr>
          <w:rFonts w:asciiTheme="majorHAnsi" w:hAnsiTheme="majorHAnsi"/>
          <w:color w:val="231F20"/>
          <w:w w:val="115"/>
          <w:sz w:val="20"/>
          <w:szCs w:val="20"/>
        </w:rPr>
        <w:t>Bagozzi</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Warshaw</w:t>
      </w:r>
      <w:proofErr w:type="spellEnd"/>
      <w:r w:rsidRPr="000A33BA">
        <w:rPr>
          <w:rFonts w:asciiTheme="majorHAnsi" w:hAnsiTheme="majorHAnsi"/>
          <w:color w:val="231F20"/>
          <w:w w:val="115"/>
          <w:sz w:val="20"/>
          <w:szCs w:val="20"/>
        </w:rPr>
        <w:t>, 1989), TOE (Chatterjee et al., 2021c), RBV (</w:t>
      </w:r>
      <w:proofErr w:type="spellStart"/>
      <w:r w:rsidRPr="000A33BA">
        <w:rPr>
          <w:rFonts w:asciiTheme="majorHAnsi" w:hAnsiTheme="majorHAnsi"/>
          <w:color w:val="231F20"/>
          <w:w w:val="115"/>
          <w:sz w:val="20"/>
          <w:szCs w:val="20"/>
        </w:rPr>
        <w:t>Blomster</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Koivumäki</w:t>
      </w:r>
      <w:proofErr w:type="spellEnd"/>
      <w:r w:rsidRPr="000A33BA">
        <w:rPr>
          <w:rFonts w:asciiTheme="majorHAnsi" w:hAnsiTheme="majorHAnsi"/>
          <w:color w:val="231F20"/>
          <w:w w:val="115"/>
          <w:sz w:val="20"/>
          <w:szCs w:val="20"/>
        </w:rPr>
        <w:t>, 2022), and digital transformation strategy perspectives (</w:t>
      </w:r>
      <w:proofErr w:type="spellStart"/>
      <w:r w:rsidRPr="000A33BA">
        <w:rPr>
          <w:rFonts w:asciiTheme="majorHAnsi" w:hAnsiTheme="majorHAnsi"/>
          <w:color w:val="231F20"/>
          <w:w w:val="115"/>
          <w:sz w:val="20"/>
          <w:szCs w:val="20"/>
        </w:rPr>
        <w:t>Wilczyński</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Piotrowska</w:t>
      </w:r>
      <w:proofErr w:type="spellEnd"/>
      <w:r w:rsidRPr="000A33BA">
        <w:rPr>
          <w:rFonts w:asciiTheme="majorHAnsi" w:hAnsiTheme="majorHAnsi"/>
          <w:color w:val="231F20"/>
          <w:w w:val="115"/>
          <w:sz w:val="20"/>
          <w:szCs w:val="20"/>
        </w:rPr>
        <w:t xml:space="preserve">, 2023). By </w:t>
      </w:r>
      <w:proofErr w:type="spellStart"/>
      <w:r w:rsidRPr="000A33BA">
        <w:rPr>
          <w:rFonts w:asciiTheme="majorHAnsi" w:hAnsiTheme="majorHAnsi"/>
          <w:color w:val="231F20"/>
          <w:w w:val="115"/>
          <w:sz w:val="20"/>
          <w:szCs w:val="20"/>
        </w:rPr>
        <w:t>synthesising</w:t>
      </w:r>
      <w:proofErr w:type="spellEnd"/>
      <w:r w:rsidRPr="000A33BA">
        <w:rPr>
          <w:rFonts w:asciiTheme="majorHAnsi" w:hAnsiTheme="majorHAnsi"/>
          <w:color w:val="231F20"/>
          <w:w w:val="115"/>
          <w:sz w:val="20"/>
          <w:szCs w:val="20"/>
        </w:rPr>
        <w:t xml:space="preserve"> empirical findings across diverse SME contexts, the research positions generative AI adoption as a capability-building process whose performance impact depends on resource orchestration, digital maturity, ethical governance, and strategic alignment.</w:t>
      </w:r>
    </w:p>
    <w:p w14:paraId="6A8D0803" w14:textId="06966F33"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The two principal conceptual anchors guiding this investigation are generative artificial intelligence adoption and organisational performance. These constructs form the basis for examining how SMEs </w:t>
      </w:r>
      <w:r w:rsidRPr="000A33BA">
        <w:rPr>
          <w:rFonts w:asciiTheme="majorHAnsi" w:hAnsiTheme="majorHAnsi"/>
          <w:color w:val="231F20"/>
          <w:w w:val="115"/>
          <w:sz w:val="20"/>
          <w:szCs w:val="20"/>
        </w:rPr>
        <w:lastRenderedPageBreak/>
        <w:t>convert digital transformation initiatives into measurable economic and strategic gains.</w:t>
      </w:r>
    </w:p>
    <w:p w14:paraId="11B66F2F" w14:textId="36D9CCF1" w:rsidR="000A33BA" w:rsidRPr="000A33BA" w:rsidRDefault="000A33BA" w:rsidP="000A33BA">
      <w:pPr>
        <w:pStyle w:val="BodyText"/>
        <w:spacing w:before="78" w:line="273" w:lineRule="auto"/>
        <w:ind w:right="144"/>
        <w:jc w:val="both"/>
        <w:rPr>
          <w:rFonts w:asciiTheme="majorHAnsi" w:hAnsiTheme="majorHAnsi"/>
          <w:b/>
          <w:color w:val="231F20"/>
          <w:w w:val="115"/>
          <w:sz w:val="20"/>
          <w:szCs w:val="20"/>
        </w:rPr>
      </w:pPr>
      <w:r>
        <w:rPr>
          <w:rFonts w:asciiTheme="majorHAnsi" w:hAnsiTheme="majorHAnsi"/>
          <w:b/>
          <w:color w:val="231F20"/>
          <w:w w:val="115"/>
          <w:sz w:val="20"/>
          <w:szCs w:val="20"/>
        </w:rPr>
        <w:t>Theoretical Foundations</w:t>
      </w:r>
    </w:p>
    <w:p w14:paraId="1ED41599"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The Technology Acceptance Model (TAM) posits that perceived usefulness and perceived ease of use shape </w:t>
      </w:r>
      <w:proofErr w:type="spellStart"/>
      <w:r w:rsidRPr="000A33BA">
        <w:rPr>
          <w:rFonts w:asciiTheme="majorHAnsi" w:hAnsiTheme="majorHAnsi"/>
          <w:color w:val="231F20"/>
          <w:w w:val="115"/>
          <w:sz w:val="20"/>
          <w:szCs w:val="20"/>
        </w:rPr>
        <w:t>behavioural</w:t>
      </w:r>
      <w:proofErr w:type="spellEnd"/>
      <w:r w:rsidRPr="000A33BA">
        <w:rPr>
          <w:rFonts w:asciiTheme="majorHAnsi" w:hAnsiTheme="majorHAnsi"/>
          <w:color w:val="231F20"/>
          <w:w w:val="115"/>
          <w:sz w:val="20"/>
          <w:szCs w:val="20"/>
        </w:rPr>
        <w:t xml:space="preserve"> intention toward technology adoption (Davis et al., 1989). In SME contexts, perceived usefulness frequently relates to cost reduction, revenue growth, and operational efficiency (Sharma et al., 2022). However, TAM primarily captures individual-level cognitive evaluations and may inadequately address organisational-level transformation dynamics.</w:t>
      </w:r>
    </w:p>
    <w:p w14:paraId="494D58E9"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The Technology–</w:t>
      </w:r>
      <w:proofErr w:type="spellStart"/>
      <w:r w:rsidRPr="000A33BA">
        <w:rPr>
          <w:rFonts w:asciiTheme="majorHAnsi" w:hAnsiTheme="majorHAnsi"/>
          <w:color w:val="231F20"/>
          <w:w w:val="115"/>
          <w:sz w:val="20"/>
          <w:szCs w:val="20"/>
        </w:rPr>
        <w:t>Organisation</w:t>
      </w:r>
      <w:proofErr w:type="spellEnd"/>
      <w:r w:rsidRPr="000A33BA">
        <w:rPr>
          <w:rFonts w:asciiTheme="majorHAnsi" w:hAnsiTheme="majorHAnsi"/>
          <w:color w:val="231F20"/>
          <w:w w:val="115"/>
          <w:sz w:val="20"/>
          <w:szCs w:val="20"/>
        </w:rPr>
        <w:t>–Environment (TOE) framework expands explanatory scope by incorporating technological readiness, organisational characteristics, and environmental pressures (Chatterjee et al., 2021c). Technological factors include infrastructure compatibility and data availability. Organisational factors encompass leadership commitment, strategic planning, and knowledge management. Environmental factors involve competitive intensity and regulatory climate (Al-Somali et al., 2024).</w:t>
      </w:r>
    </w:p>
    <w:p w14:paraId="3758C3AD"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The Resource-Based View (RBV) argues that sustainable competitive advantage arises from valuable, rare, inimitable, and non-substitutable resources. In AI contexts, such resources include proprietary datasets, machine learning expertise, digital infrastructure, and dynamic capabilities (</w:t>
      </w:r>
      <w:proofErr w:type="spellStart"/>
      <w:r w:rsidRPr="000A33BA">
        <w:rPr>
          <w:rFonts w:asciiTheme="majorHAnsi" w:hAnsiTheme="majorHAnsi"/>
          <w:color w:val="231F20"/>
          <w:w w:val="115"/>
          <w:sz w:val="20"/>
          <w:szCs w:val="20"/>
        </w:rPr>
        <w:t>Blomster</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Koivumäki</w:t>
      </w:r>
      <w:proofErr w:type="spellEnd"/>
      <w:r w:rsidRPr="000A33BA">
        <w:rPr>
          <w:rFonts w:asciiTheme="majorHAnsi" w:hAnsiTheme="majorHAnsi"/>
          <w:color w:val="231F20"/>
          <w:w w:val="115"/>
          <w:sz w:val="20"/>
          <w:szCs w:val="20"/>
        </w:rPr>
        <w:t>, 2022). SMEs lacking these resources may struggle to derive sustained benefits from generative AI.</w:t>
      </w:r>
    </w:p>
    <w:p w14:paraId="6357A64D" w14:textId="77777777" w:rsidR="000A33BA" w:rsidRPr="000A33BA"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Digital transformation theory further </w:t>
      </w:r>
      <w:proofErr w:type="spellStart"/>
      <w:r w:rsidRPr="000A33BA">
        <w:rPr>
          <w:rFonts w:asciiTheme="majorHAnsi" w:hAnsiTheme="majorHAnsi"/>
          <w:color w:val="231F20"/>
          <w:w w:val="115"/>
          <w:sz w:val="20"/>
          <w:szCs w:val="20"/>
        </w:rPr>
        <w:t>emphasises</w:t>
      </w:r>
      <w:proofErr w:type="spellEnd"/>
      <w:r w:rsidRPr="000A33BA">
        <w:rPr>
          <w:rFonts w:asciiTheme="majorHAnsi" w:hAnsiTheme="majorHAnsi"/>
          <w:color w:val="231F20"/>
          <w:w w:val="115"/>
          <w:sz w:val="20"/>
          <w:szCs w:val="20"/>
        </w:rPr>
        <w:t xml:space="preserve"> the integration of AI capabilities into broader strategic architecture. Warsaw-based SMEs demonstrate that AI must align with transformation strategies to yield measurable outcomes (</w:t>
      </w:r>
      <w:proofErr w:type="spellStart"/>
      <w:r w:rsidRPr="000A33BA">
        <w:rPr>
          <w:rFonts w:asciiTheme="majorHAnsi" w:hAnsiTheme="majorHAnsi"/>
          <w:color w:val="231F20"/>
          <w:w w:val="115"/>
          <w:sz w:val="20"/>
          <w:szCs w:val="20"/>
        </w:rPr>
        <w:t>Wilczyński</w:t>
      </w:r>
      <w:proofErr w:type="spellEnd"/>
      <w:r w:rsidRPr="000A33BA">
        <w:rPr>
          <w:rFonts w:asciiTheme="majorHAnsi" w:hAnsiTheme="majorHAnsi"/>
          <w:color w:val="231F20"/>
          <w:w w:val="115"/>
          <w:sz w:val="20"/>
          <w:szCs w:val="20"/>
        </w:rPr>
        <w:t xml:space="preserve"> &amp; </w:t>
      </w:r>
      <w:proofErr w:type="spellStart"/>
      <w:r w:rsidRPr="000A33BA">
        <w:rPr>
          <w:rFonts w:asciiTheme="majorHAnsi" w:hAnsiTheme="majorHAnsi"/>
          <w:color w:val="231F20"/>
          <w:w w:val="115"/>
          <w:sz w:val="20"/>
          <w:szCs w:val="20"/>
        </w:rPr>
        <w:t>Piotrowska</w:t>
      </w:r>
      <w:proofErr w:type="spellEnd"/>
      <w:r w:rsidRPr="000A33BA">
        <w:rPr>
          <w:rFonts w:asciiTheme="majorHAnsi" w:hAnsiTheme="majorHAnsi"/>
          <w:color w:val="231F20"/>
          <w:w w:val="115"/>
          <w:sz w:val="20"/>
          <w:szCs w:val="20"/>
        </w:rPr>
        <w:t>, 2023). Strategic planning moderates the impact of AI-CRM capabilities on entrepreneurial performance (Chatterjee et al., 2022).</w:t>
      </w:r>
    </w:p>
    <w:p w14:paraId="569EB5DA" w14:textId="3493CBBD" w:rsidR="004D2F64" w:rsidRPr="00E647B0" w:rsidRDefault="000A33BA" w:rsidP="000A33BA">
      <w:pPr>
        <w:pStyle w:val="BodyText"/>
        <w:spacing w:before="78" w:line="273" w:lineRule="auto"/>
        <w:ind w:right="144"/>
        <w:jc w:val="both"/>
        <w:rPr>
          <w:rFonts w:asciiTheme="majorHAnsi" w:hAnsiTheme="majorHAnsi"/>
          <w:color w:val="231F20"/>
          <w:w w:val="115"/>
          <w:sz w:val="20"/>
          <w:szCs w:val="20"/>
        </w:rPr>
      </w:pPr>
      <w:r w:rsidRPr="000A33BA">
        <w:rPr>
          <w:rFonts w:asciiTheme="majorHAnsi" w:hAnsiTheme="majorHAnsi"/>
          <w:color w:val="231F20"/>
          <w:w w:val="115"/>
          <w:sz w:val="20"/>
          <w:szCs w:val="20"/>
        </w:rPr>
        <w:t xml:space="preserve">Integrating these frameworks yields a multi-layered understanding: TAM explains </w:t>
      </w:r>
      <w:proofErr w:type="spellStart"/>
      <w:r w:rsidRPr="000A33BA">
        <w:rPr>
          <w:rFonts w:asciiTheme="majorHAnsi" w:hAnsiTheme="majorHAnsi"/>
          <w:color w:val="231F20"/>
          <w:w w:val="115"/>
          <w:sz w:val="20"/>
          <w:szCs w:val="20"/>
        </w:rPr>
        <w:t>behavioural</w:t>
      </w:r>
      <w:proofErr w:type="spellEnd"/>
      <w:r w:rsidRPr="000A33BA">
        <w:rPr>
          <w:rFonts w:asciiTheme="majorHAnsi" w:hAnsiTheme="majorHAnsi"/>
          <w:color w:val="231F20"/>
          <w:w w:val="115"/>
          <w:sz w:val="20"/>
          <w:szCs w:val="20"/>
        </w:rPr>
        <w:t xml:space="preserve"> intention; TOE </w:t>
      </w:r>
      <w:proofErr w:type="spellStart"/>
      <w:r w:rsidRPr="000A33BA">
        <w:rPr>
          <w:rFonts w:asciiTheme="majorHAnsi" w:hAnsiTheme="majorHAnsi"/>
          <w:color w:val="231F20"/>
          <w:w w:val="115"/>
          <w:sz w:val="20"/>
          <w:szCs w:val="20"/>
        </w:rPr>
        <w:t>contextualises</w:t>
      </w:r>
      <w:proofErr w:type="spellEnd"/>
      <w:r w:rsidRPr="000A33BA">
        <w:rPr>
          <w:rFonts w:asciiTheme="majorHAnsi" w:hAnsiTheme="majorHAnsi"/>
          <w:color w:val="231F20"/>
          <w:w w:val="115"/>
          <w:sz w:val="20"/>
          <w:szCs w:val="20"/>
        </w:rPr>
        <w:t xml:space="preserve"> organisational readiness; RBV clarifies capability-based advantage; digital transformation theory ensures strategic coherence.</w:t>
      </w:r>
    </w:p>
    <w:p w14:paraId="127CBE6D" w14:textId="77777777" w:rsidR="00D329D4" w:rsidRPr="00E647B0" w:rsidRDefault="00D329D4" w:rsidP="001948E2">
      <w:pPr>
        <w:pStyle w:val="BodyText"/>
        <w:spacing w:before="78" w:line="273" w:lineRule="auto"/>
        <w:ind w:right="144"/>
        <w:jc w:val="both"/>
        <w:rPr>
          <w:rFonts w:asciiTheme="majorHAnsi" w:hAnsiTheme="majorHAnsi"/>
          <w:color w:val="231F20"/>
          <w:w w:val="115"/>
          <w:sz w:val="20"/>
          <w:szCs w:val="20"/>
        </w:rPr>
      </w:pPr>
    </w:p>
    <w:p w14:paraId="71D5EBB7" w14:textId="23DE5437" w:rsidR="00D329D4" w:rsidRPr="00E647B0" w:rsidRDefault="00D329D4" w:rsidP="001948E2">
      <w:pPr>
        <w:pStyle w:val="BodyText"/>
        <w:spacing w:before="78" w:line="273" w:lineRule="auto"/>
        <w:ind w:right="144"/>
        <w:jc w:val="both"/>
        <w:rPr>
          <w:rFonts w:asciiTheme="majorHAnsi" w:hAnsiTheme="majorHAnsi"/>
          <w:b/>
          <w:bCs/>
          <w:color w:val="231F20"/>
          <w:w w:val="115"/>
          <w:sz w:val="20"/>
          <w:szCs w:val="20"/>
        </w:rPr>
      </w:pPr>
      <w:r w:rsidRPr="00E647B0">
        <w:rPr>
          <w:rFonts w:asciiTheme="majorHAnsi" w:hAnsiTheme="majorHAnsi"/>
          <w:b/>
          <w:bCs/>
          <w:color w:val="231F20"/>
          <w:w w:val="115"/>
          <w:sz w:val="20"/>
          <w:szCs w:val="20"/>
        </w:rPr>
        <w:t>METHODS</w:t>
      </w:r>
    </w:p>
    <w:p w14:paraId="6B220848"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This research employs a structured integrative review and analytical synthesis methodology grounded exclusively in the provided reference </w:t>
      </w:r>
      <w:r w:rsidRPr="000A33BA">
        <w:rPr>
          <w:rFonts w:asciiTheme="majorHAnsi" w:hAnsiTheme="majorHAnsi"/>
          <w:bCs/>
          <w:color w:val="231F20"/>
          <w:w w:val="115"/>
          <w:sz w:val="20"/>
          <w:szCs w:val="20"/>
        </w:rPr>
        <w:t>corpus. The methodological objective is to construct a cohesive explanatory model rather than to conduct primary empirical data collection.</w:t>
      </w:r>
    </w:p>
    <w:p w14:paraId="13A494D7"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The research design comprises five analytical stages.</w:t>
      </w:r>
    </w:p>
    <w:p w14:paraId="2BEEB820"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First, systematic </w:t>
      </w:r>
      <w:proofErr w:type="spellStart"/>
      <w:r w:rsidRPr="000A33BA">
        <w:rPr>
          <w:rFonts w:asciiTheme="majorHAnsi" w:hAnsiTheme="majorHAnsi"/>
          <w:bCs/>
          <w:color w:val="231F20"/>
          <w:w w:val="115"/>
          <w:sz w:val="20"/>
          <w:szCs w:val="20"/>
        </w:rPr>
        <w:t>categorisation</w:t>
      </w:r>
      <w:proofErr w:type="spellEnd"/>
      <w:r w:rsidRPr="000A33BA">
        <w:rPr>
          <w:rFonts w:asciiTheme="majorHAnsi" w:hAnsiTheme="majorHAnsi"/>
          <w:bCs/>
          <w:color w:val="231F20"/>
          <w:w w:val="115"/>
          <w:sz w:val="20"/>
          <w:szCs w:val="20"/>
        </w:rPr>
        <w:t xml:space="preserve"> of literature was conducted across four domains: adoption determinants, organisational capabilities, ethical governance, and performance outcomes. Studies were coded according to context (country, sector), theoretical framework, and outcome variable.</w:t>
      </w:r>
    </w:p>
    <w:p w14:paraId="001A6A10"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Second, cross-national comparative synthesis was performed. Evidence from Lithuania, Portugal, Poland, Turkey, Jordan, India, Azerbaijan, China, and EU-wide datasets was </w:t>
      </w:r>
      <w:proofErr w:type="spellStart"/>
      <w:r w:rsidRPr="000A33BA">
        <w:rPr>
          <w:rFonts w:asciiTheme="majorHAnsi" w:hAnsiTheme="majorHAnsi"/>
          <w:bCs/>
          <w:color w:val="231F20"/>
          <w:w w:val="115"/>
          <w:sz w:val="20"/>
          <w:szCs w:val="20"/>
        </w:rPr>
        <w:t>analysed</w:t>
      </w:r>
      <w:proofErr w:type="spellEnd"/>
      <w:r w:rsidRPr="000A33BA">
        <w:rPr>
          <w:rFonts w:asciiTheme="majorHAnsi" w:hAnsiTheme="majorHAnsi"/>
          <w:bCs/>
          <w:color w:val="231F20"/>
          <w:w w:val="115"/>
          <w:sz w:val="20"/>
          <w:szCs w:val="20"/>
        </w:rPr>
        <w:t xml:space="preserve"> descriptively to identify recurring patterns and contextual divergences.</w:t>
      </w:r>
    </w:p>
    <w:p w14:paraId="10639167"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Third, conceptual mapping was undertaken to integrate TAM, TOE, RBV, and digital transformation constructs into a unified generative AI performance architecture.</w:t>
      </w:r>
    </w:p>
    <w:p w14:paraId="56CDC8A0"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Fourth, moderating variables such as digital maturity (</w:t>
      </w:r>
      <w:proofErr w:type="spellStart"/>
      <w:r w:rsidRPr="000A33BA">
        <w:rPr>
          <w:rFonts w:asciiTheme="majorHAnsi" w:hAnsiTheme="majorHAnsi"/>
          <w:bCs/>
          <w:color w:val="231F20"/>
          <w:w w:val="115"/>
          <w:sz w:val="20"/>
          <w:szCs w:val="20"/>
        </w:rPr>
        <w:t>Brătucu</w:t>
      </w:r>
      <w:proofErr w:type="spellEnd"/>
      <w:r w:rsidRPr="000A33BA">
        <w:rPr>
          <w:rFonts w:asciiTheme="majorHAnsi" w:hAnsiTheme="majorHAnsi"/>
          <w:bCs/>
          <w:color w:val="231F20"/>
          <w:w w:val="115"/>
          <w:sz w:val="20"/>
          <w:szCs w:val="20"/>
        </w:rPr>
        <w:t xml:space="preserve"> et al., 2024), cybersecurity readiness (Al-Somali et al., 2024), and ethical governance (Rana et al., 2024) were examined in relation to performance outcomes.</w:t>
      </w:r>
    </w:p>
    <w:p w14:paraId="2F9690C7"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Fifth, limitations associated with survey-based SME research were acknowledged in line with methodological critiques of online surveys (Andrade, 2020).</w:t>
      </w:r>
    </w:p>
    <w:p w14:paraId="0731A030" w14:textId="3E3CE880" w:rsidR="00901812" w:rsidRPr="00E647B0"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The analytical process </w:t>
      </w:r>
      <w:proofErr w:type="spellStart"/>
      <w:r w:rsidRPr="000A33BA">
        <w:rPr>
          <w:rFonts w:asciiTheme="majorHAnsi" w:hAnsiTheme="majorHAnsi"/>
          <w:bCs/>
          <w:color w:val="231F20"/>
          <w:w w:val="115"/>
          <w:sz w:val="20"/>
          <w:szCs w:val="20"/>
        </w:rPr>
        <w:t>prioritised</w:t>
      </w:r>
      <w:proofErr w:type="spellEnd"/>
      <w:r w:rsidRPr="000A33BA">
        <w:rPr>
          <w:rFonts w:asciiTheme="majorHAnsi" w:hAnsiTheme="majorHAnsi"/>
          <w:bCs/>
          <w:color w:val="231F20"/>
          <w:w w:val="115"/>
          <w:sz w:val="20"/>
          <w:szCs w:val="20"/>
        </w:rPr>
        <w:t xml:space="preserve"> depth over aggregation, </w:t>
      </w:r>
      <w:proofErr w:type="spellStart"/>
      <w:r w:rsidRPr="000A33BA">
        <w:rPr>
          <w:rFonts w:asciiTheme="majorHAnsi" w:hAnsiTheme="majorHAnsi"/>
          <w:bCs/>
          <w:color w:val="231F20"/>
          <w:w w:val="115"/>
          <w:sz w:val="20"/>
          <w:szCs w:val="20"/>
        </w:rPr>
        <w:t>emphasising</w:t>
      </w:r>
      <w:proofErr w:type="spellEnd"/>
      <w:r w:rsidRPr="000A33BA">
        <w:rPr>
          <w:rFonts w:asciiTheme="majorHAnsi" w:hAnsiTheme="majorHAnsi"/>
          <w:bCs/>
          <w:color w:val="231F20"/>
          <w:w w:val="115"/>
          <w:sz w:val="20"/>
          <w:szCs w:val="20"/>
        </w:rPr>
        <w:t xml:space="preserve"> nuanced theoretical interpretation rather than statistical meta-analysis.</w:t>
      </w:r>
    </w:p>
    <w:p w14:paraId="7700C9FE" w14:textId="0DE2253E" w:rsidR="00666459" w:rsidRPr="00E647B0" w:rsidRDefault="00666459" w:rsidP="001B56E7">
      <w:pPr>
        <w:pStyle w:val="BodyText"/>
        <w:spacing w:before="78" w:line="273" w:lineRule="auto"/>
        <w:ind w:right="144"/>
        <w:jc w:val="both"/>
        <w:rPr>
          <w:rFonts w:asciiTheme="majorHAnsi" w:hAnsiTheme="majorHAnsi"/>
          <w:bCs/>
          <w:color w:val="231F20"/>
          <w:w w:val="115"/>
          <w:sz w:val="20"/>
          <w:szCs w:val="20"/>
        </w:rPr>
      </w:pPr>
    </w:p>
    <w:p w14:paraId="3FCA31D5" w14:textId="77777777" w:rsidR="0007677D" w:rsidRPr="00E647B0" w:rsidRDefault="00A62320" w:rsidP="0007677D">
      <w:pPr>
        <w:pStyle w:val="BodyText"/>
        <w:spacing w:before="78" w:line="273" w:lineRule="auto"/>
        <w:ind w:right="144"/>
        <w:jc w:val="both"/>
        <w:rPr>
          <w:rFonts w:asciiTheme="majorHAnsi" w:hAnsiTheme="majorHAnsi"/>
          <w:b/>
          <w:bCs/>
          <w:color w:val="231F20"/>
          <w:w w:val="115"/>
          <w:sz w:val="20"/>
          <w:szCs w:val="20"/>
        </w:rPr>
      </w:pPr>
      <w:r w:rsidRPr="00E647B0">
        <w:rPr>
          <w:rFonts w:asciiTheme="majorHAnsi" w:hAnsiTheme="majorHAnsi"/>
          <w:b/>
          <w:bCs/>
          <w:color w:val="231F20"/>
          <w:w w:val="115"/>
          <w:sz w:val="20"/>
          <w:szCs w:val="20"/>
        </w:rPr>
        <w:t>RESULT</w:t>
      </w:r>
    </w:p>
    <w:p w14:paraId="69CCE73F" w14:textId="77777777" w:rsidR="000A33BA" w:rsidRPr="000A33BA" w:rsidRDefault="00A62320" w:rsidP="000A33BA">
      <w:pPr>
        <w:pStyle w:val="BodyText"/>
        <w:spacing w:before="78" w:line="273" w:lineRule="auto"/>
        <w:ind w:right="144"/>
        <w:jc w:val="both"/>
        <w:rPr>
          <w:rFonts w:asciiTheme="majorHAnsi" w:hAnsiTheme="majorHAnsi"/>
          <w:bCs/>
          <w:color w:val="231F20"/>
          <w:w w:val="115"/>
          <w:sz w:val="20"/>
          <w:szCs w:val="20"/>
        </w:rPr>
      </w:pPr>
      <w:r w:rsidRPr="00E647B0">
        <w:rPr>
          <w:rFonts w:asciiTheme="majorHAnsi" w:hAnsiTheme="majorHAnsi"/>
          <w:b/>
          <w:bCs/>
          <w:color w:val="231F20"/>
          <w:w w:val="115"/>
          <w:sz w:val="20"/>
          <w:szCs w:val="20"/>
        </w:rPr>
        <w:t xml:space="preserve"> </w:t>
      </w:r>
      <w:r w:rsidR="000A33BA" w:rsidRPr="000A33BA">
        <w:rPr>
          <w:rFonts w:asciiTheme="majorHAnsi" w:hAnsiTheme="majorHAnsi"/>
          <w:bCs/>
          <w:color w:val="231F20"/>
          <w:w w:val="115"/>
          <w:sz w:val="20"/>
          <w:szCs w:val="20"/>
        </w:rPr>
        <w:t>The integrative analysis identifies five interconnected performance pathways linking generative AI adoption to organisational outcomes in SMEs.</w:t>
      </w:r>
    </w:p>
    <w:p w14:paraId="74D03B7E"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The first pathway involves operational efficiency enhancement. AI-driven analytics streamline supply chain operations (Dora et al., 2022), improve project management support differentially across firm sizes (</w:t>
      </w:r>
      <w:proofErr w:type="spellStart"/>
      <w:r w:rsidRPr="000A33BA">
        <w:rPr>
          <w:rFonts w:asciiTheme="majorHAnsi" w:hAnsiTheme="majorHAnsi"/>
          <w:bCs/>
          <w:color w:val="231F20"/>
          <w:w w:val="115"/>
          <w:sz w:val="20"/>
          <w:szCs w:val="20"/>
        </w:rPr>
        <w:t>Tominc</w:t>
      </w:r>
      <w:proofErr w:type="spellEnd"/>
      <w:r w:rsidRPr="000A33BA">
        <w:rPr>
          <w:rFonts w:asciiTheme="majorHAnsi" w:hAnsiTheme="majorHAnsi"/>
          <w:bCs/>
          <w:color w:val="231F20"/>
          <w:w w:val="115"/>
          <w:sz w:val="20"/>
          <w:szCs w:val="20"/>
        </w:rPr>
        <w:t xml:space="preserve"> et al., 2024), and </w:t>
      </w:r>
      <w:proofErr w:type="spellStart"/>
      <w:r w:rsidRPr="000A33BA">
        <w:rPr>
          <w:rFonts w:asciiTheme="majorHAnsi" w:hAnsiTheme="majorHAnsi"/>
          <w:bCs/>
          <w:color w:val="231F20"/>
          <w:w w:val="115"/>
          <w:sz w:val="20"/>
          <w:szCs w:val="20"/>
        </w:rPr>
        <w:t>optimise</w:t>
      </w:r>
      <w:proofErr w:type="spellEnd"/>
      <w:r w:rsidRPr="000A33BA">
        <w:rPr>
          <w:rFonts w:asciiTheme="majorHAnsi" w:hAnsiTheme="majorHAnsi"/>
          <w:bCs/>
          <w:color w:val="231F20"/>
          <w:w w:val="115"/>
          <w:sz w:val="20"/>
          <w:szCs w:val="20"/>
        </w:rPr>
        <w:t xml:space="preserve"> manufacturing processes (Yilmaz &amp; </w:t>
      </w:r>
      <w:proofErr w:type="spellStart"/>
      <w:r w:rsidRPr="000A33BA">
        <w:rPr>
          <w:rFonts w:asciiTheme="majorHAnsi" w:hAnsiTheme="majorHAnsi"/>
          <w:bCs/>
          <w:color w:val="231F20"/>
          <w:w w:val="115"/>
          <w:sz w:val="20"/>
          <w:szCs w:val="20"/>
        </w:rPr>
        <w:t>Demir</w:t>
      </w:r>
      <w:proofErr w:type="spellEnd"/>
      <w:r w:rsidRPr="000A33BA">
        <w:rPr>
          <w:rFonts w:asciiTheme="majorHAnsi" w:hAnsiTheme="majorHAnsi"/>
          <w:bCs/>
          <w:color w:val="231F20"/>
          <w:w w:val="115"/>
          <w:sz w:val="20"/>
          <w:szCs w:val="20"/>
        </w:rPr>
        <w:t>, 2023). Operational gains are particularly pronounced in digitally mature firms.</w:t>
      </w:r>
    </w:p>
    <w:p w14:paraId="73874848"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The second pathway concerns productivity improvement. Empirical macro- and micro-level analyses demonstrate positive correlations between AI investment and </w:t>
      </w:r>
      <w:proofErr w:type="spellStart"/>
      <w:r w:rsidRPr="000A33BA">
        <w:rPr>
          <w:rFonts w:asciiTheme="majorHAnsi" w:hAnsiTheme="majorHAnsi"/>
          <w:bCs/>
          <w:color w:val="231F20"/>
          <w:w w:val="115"/>
          <w:sz w:val="20"/>
          <w:szCs w:val="20"/>
        </w:rPr>
        <w:t>labour</w:t>
      </w:r>
      <w:proofErr w:type="spellEnd"/>
      <w:r w:rsidRPr="000A33BA">
        <w:rPr>
          <w:rFonts w:asciiTheme="majorHAnsi" w:hAnsiTheme="majorHAnsi"/>
          <w:bCs/>
          <w:color w:val="231F20"/>
          <w:w w:val="115"/>
          <w:sz w:val="20"/>
          <w:szCs w:val="20"/>
        </w:rPr>
        <w:t xml:space="preserve"> productivity (</w:t>
      </w:r>
      <w:proofErr w:type="spellStart"/>
      <w:r w:rsidRPr="000A33BA">
        <w:rPr>
          <w:rFonts w:asciiTheme="majorHAnsi" w:hAnsiTheme="majorHAnsi"/>
          <w:bCs/>
          <w:color w:val="231F20"/>
          <w:w w:val="115"/>
          <w:sz w:val="20"/>
          <w:szCs w:val="20"/>
        </w:rPr>
        <w:t>Damioli</w:t>
      </w:r>
      <w:proofErr w:type="spellEnd"/>
      <w:r w:rsidRPr="000A33BA">
        <w:rPr>
          <w:rFonts w:asciiTheme="majorHAnsi" w:hAnsiTheme="majorHAnsi"/>
          <w:bCs/>
          <w:color w:val="231F20"/>
          <w:w w:val="115"/>
          <w:sz w:val="20"/>
          <w:szCs w:val="20"/>
        </w:rPr>
        <w:t xml:space="preserve"> et al., 2021; </w:t>
      </w:r>
      <w:proofErr w:type="spellStart"/>
      <w:r w:rsidRPr="000A33BA">
        <w:rPr>
          <w:rFonts w:asciiTheme="majorHAnsi" w:hAnsiTheme="majorHAnsi"/>
          <w:bCs/>
          <w:color w:val="231F20"/>
          <w:w w:val="115"/>
          <w:sz w:val="20"/>
          <w:szCs w:val="20"/>
        </w:rPr>
        <w:t>Czarnitzki</w:t>
      </w:r>
      <w:proofErr w:type="spellEnd"/>
      <w:r w:rsidRPr="000A33BA">
        <w:rPr>
          <w:rFonts w:asciiTheme="majorHAnsi" w:hAnsiTheme="majorHAnsi"/>
          <w:bCs/>
          <w:color w:val="231F20"/>
          <w:w w:val="115"/>
          <w:sz w:val="20"/>
          <w:szCs w:val="20"/>
        </w:rPr>
        <w:t xml:space="preserve"> et al., 2023). SMEs leveraging AI-</w:t>
      </w:r>
      <w:r w:rsidRPr="000A33BA">
        <w:rPr>
          <w:rFonts w:asciiTheme="majorHAnsi" w:hAnsiTheme="majorHAnsi"/>
          <w:bCs/>
          <w:color w:val="231F20"/>
          <w:w w:val="115"/>
          <w:sz w:val="20"/>
          <w:szCs w:val="20"/>
        </w:rPr>
        <w:lastRenderedPageBreak/>
        <w:t>based B2B practices report enhanced market responsiveness (</w:t>
      </w:r>
      <w:proofErr w:type="spellStart"/>
      <w:r w:rsidRPr="000A33BA">
        <w:rPr>
          <w:rFonts w:asciiTheme="majorHAnsi" w:hAnsiTheme="majorHAnsi"/>
          <w:bCs/>
          <w:color w:val="231F20"/>
          <w:w w:val="115"/>
          <w:sz w:val="20"/>
          <w:szCs w:val="20"/>
        </w:rPr>
        <w:t>Baabdullah</w:t>
      </w:r>
      <w:proofErr w:type="spellEnd"/>
      <w:r w:rsidRPr="000A33BA">
        <w:rPr>
          <w:rFonts w:asciiTheme="majorHAnsi" w:hAnsiTheme="majorHAnsi"/>
          <w:bCs/>
          <w:color w:val="231F20"/>
          <w:w w:val="115"/>
          <w:sz w:val="20"/>
          <w:szCs w:val="20"/>
        </w:rPr>
        <w:t xml:space="preserve"> et al., 2021).</w:t>
      </w:r>
    </w:p>
    <w:p w14:paraId="27ECE792"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The third pathway involves innovation and entrepreneurship. AI-CRM capabilities moderate digital transformation effects on SME entrepreneurship (Chatterjee et al., 2022). Portuguese SMEs identify AI as a catalyst for ecosystem integration (Santos &amp; Pereira, 2023).</w:t>
      </w:r>
    </w:p>
    <w:p w14:paraId="467C97CB"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The fourth pathway relates to strategic agility and competitive advantage. Turkish manufacturing SMEs demonstrate that AI integration enhances differentiation capacity (Yilmaz &amp; </w:t>
      </w:r>
      <w:proofErr w:type="spellStart"/>
      <w:r w:rsidRPr="000A33BA">
        <w:rPr>
          <w:rFonts w:asciiTheme="majorHAnsi" w:hAnsiTheme="majorHAnsi"/>
          <w:bCs/>
          <w:color w:val="231F20"/>
          <w:w w:val="115"/>
          <w:sz w:val="20"/>
          <w:szCs w:val="20"/>
        </w:rPr>
        <w:t>Demir</w:t>
      </w:r>
      <w:proofErr w:type="spellEnd"/>
      <w:r w:rsidRPr="000A33BA">
        <w:rPr>
          <w:rFonts w:asciiTheme="majorHAnsi" w:hAnsiTheme="majorHAnsi"/>
          <w:bCs/>
          <w:color w:val="231F20"/>
          <w:w w:val="115"/>
          <w:sz w:val="20"/>
          <w:szCs w:val="20"/>
        </w:rPr>
        <w:t xml:space="preserve">, 2023). Warsaw-based SMEs </w:t>
      </w:r>
      <w:proofErr w:type="spellStart"/>
      <w:r w:rsidRPr="000A33BA">
        <w:rPr>
          <w:rFonts w:asciiTheme="majorHAnsi" w:hAnsiTheme="majorHAnsi"/>
          <w:bCs/>
          <w:color w:val="231F20"/>
          <w:w w:val="115"/>
          <w:sz w:val="20"/>
          <w:szCs w:val="20"/>
        </w:rPr>
        <w:t>emphasise</w:t>
      </w:r>
      <w:proofErr w:type="spellEnd"/>
      <w:r w:rsidRPr="000A33BA">
        <w:rPr>
          <w:rFonts w:asciiTheme="majorHAnsi" w:hAnsiTheme="majorHAnsi"/>
          <w:bCs/>
          <w:color w:val="231F20"/>
          <w:w w:val="115"/>
          <w:sz w:val="20"/>
          <w:szCs w:val="20"/>
        </w:rPr>
        <w:t xml:space="preserve"> strategic alignment as a prerequisite for digital transformation success (</w:t>
      </w:r>
      <w:proofErr w:type="spellStart"/>
      <w:r w:rsidRPr="000A33BA">
        <w:rPr>
          <w:rFonts w:asciiTheme="majorHAnsi" w:hAnsiTheme="majorHAnsi"/>
          <w:bCs/>
          <w:color w:val="231F20"/>
          <w:w w:val="115"/>
          <w:sz w:val="20"/>
          <w:szCs w:val="20"/>
        </w:rPr>
        <w:t>Wilczyński</w:t>
      </w:r>
      <w:proofErr w:type="spellEnd"/>
      <w:r w:rsidRPr="000A33BA">
        <w:rPr>
          <w:rFonts w:asciiTheme="majorHAnsi" w:hAnsiTheme="majorHAnsi"/>
          <w:bCs/>
          <w:color w:val="231F20"/>
          <w:w w:val="115"/>
          <w:sz w:val="20"/>
          <w:szCs w:val="20"/>
        </w:rPr>
        <w:t xml:space="preserve"> &amp; </w:t>
      </w:r>
      <w:proofErr w:type="spellStart"/>
      <w:r w:rsidRPr="000A33BA">
        <w:rPr>
          <w:rFonts w:asciiTheme="majorHAnsi" w:hAnsiTheme="majorHAnsi"/>
          <w:bCs/>
          <w:color w:val="231F20"/>
          <w:w w:val="115"/>
          <w:sz w:val="20"/>
          <w:szCs w:val="20"/>
        </w:rPr>
        <w:t>Piotrowska</w:t>
      </w:r>
      <w:proofErr w:type="spellEnd"/>
      <w:r w:rsidRPr="000A33BA">
        <w:rPr>
          <w:rFonts w:asciiTheme="majorHAnsi" w:hAnsiTheme="majorHAnsi"/>
          <w:bCs/>
          <w:color w:val="231F20"/>
          <w:w w:val="115"/>
          <w:sz w:val="20"/>
          <w:szCs w:val="20"/>
        </w:rPr>
        <w:t>, 2023).</w:t>
      </w:r>
    </w:p>
    <w:p w14:paraId="34D812B9"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The fifth pathway addresses revenue growth and </w:t>
      </w:r>
      <w:r w:rsidRPr="000A33BA">
        <w:rPr>
          <w:rFonts w:asciiTheme="majorHAnsi" w:hAnsiTheme="majorHAnsi"/>
          <w:bCs/>
          <w:color w:val="231F20"/>
          <w:w w:val="115"/>
          <w:sz w:val="20"/>
          <w:szCs w:val="20"/>
        </w:rPr>
        <w:t xml:space="preserve">financial outcomes. Industry reports indicate stronger revenue performance among AI-adopting SMEs (Salesforce, 2024). Financial services </w:t>
      </w:r>
      <w:proofErr w:type="spellStart"/>
      <w:r w:rsidRPr="000A33BA">
        <w:rPr>
          <w:rFonts w:asciiTheme="majorHAnsi" w:hAnsiTheme="majorHAnsi"/>
          <w:bCs/>
          <w:color w:val="231F20"/>
          <w:w w:val="115"/>
          <w:sz w:val="20"/>
          <w:szCs w:val="20"/>
        </w:rPr>
        <w:t>organisations</w:t>
      </w:r>
      <w:proofErr w:type="spellEnd"/>
      <w:r w:rsidRPr="000A33BA">
        <w:rPr>
          <w:rFonts w:asciiTheme="majorHAnsi" w:hAnsiTheme="majorHAnsi"/>
          <w:bCs/>
          <w:color w:val="231F20"/>
          <w:w w:val="115"/>
          <w:sz w:val="20"/>
          <w:szCs w:val="20"/>
        </w:rPr>
        <w:t xml:space="preserve"> benefit from AI-driven analytics and service innovation (Costa et al., 2022).</w:t>
      </w:r>
    </w:p>
    <w:p w14:paraId="60532416" w14:textId="77777777" w:rsidR="000A33BA" w:rsidRPr="000A33BA"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 xml:space="preserve">However, barriers remain significant. Digital immaturity constrains effective </w:t>
      </w:r>
      <w:proofErr w:type="spellStart"/>
      <w:r w:rsidRPr="000A33BA">
        <w:rPr>
          <w:rFonts w:asciiTheme="majorHAnsi" w:hAnsiTheme="majorHAnsi"/>
          <w:bCs/>
          <w:color w:val="231F20"/>
          <w:w w:val="115"/>
          <w:sz w:val="20"/>
          <w:szCs w:val="20"/>
        </w:rPr>
        <w:t>utilisation</w:t>
      </w:r>
      <w:proofErr w:type="spellEnd"/>
      <w:r w:rsidRPr="000A33BA">
        <w:rPr>
          <w:rFonts w:asciiTheme="majorHAnsi" w:hAnsiTheme="majorHAnsi"/>
          <w:bCs/>
          <w:color w:val="231F20"/>
          <w:w w:val="115"/>
          <w:sz w:val="20"/>
          <w:szCs w:val="20"/>
        </w:rPr>
        <w:t xml:space="preserve"> (</w:t>
      </w:r>
      <w:proofErr w:type="spellStart"/>
      <w:r w:rsidRPr="000A33BA">
        <w:rPr>
          <w:rFonts w:asciiTheme="majorHAnsi" w:hAnsiTheme="majorHAnsi"/>
          <w:bCs/>
          <w:color w:val="231F20"/>
          <w:w w:val="115"/>
          <w:sz w:val="20"/>
          <w:szCs w:val="20"/>
        </w:rPr>
        <w:t>Brătucu</w:t>
      </w:r>
      <w:proofErr w:type="spellEnd"/>
      <w:r w:rsidRPr="000A33BA">
        <w:rPr>
          <w:rFonts w:asciiTheme="majorHAnsi" w:hAnsiTheme="majorHAnsi"/>
          <w:bCs/>
          <w:color w:val="231F20"/>
          <w:w w:val="115"/>
          <w:sz w:val="20"/>
          <w:szCs w:val="20"/>
        </w:rPr>
        <w:t xml:space="preserve"> et al., 2024). Leadership deficits hinder assimilation (Sarkar &amp; Dutta, 2023). Cybersecurity vulnerabilities elevate perceived risk (Al-Somali et al., 2024). Ethical uncertainty may undermine stakeholder trust (Crockett et al., 2021).</w:t>
      </w:r>
    </w:p>
    <w:p w14:paraId="51266DA0" w14:textId="6C25C7CD" w:rsidR="00B11D45" w:rsidRDefault="000A33BA" w:rsidP="000A33BA">
      <w:pPr>
        <w:pStyle w:val="BodyText"/>
        <w:spacing w:before="78" w:line="273" w:lineRule="auto"/>
        <w:ind w:right="144"/>
        <w:jc w:val="both"/>
        <w:rPr>
          <w:rFonts w:asciiTheme="majorHAnsi" w:hAnsiTheme="majorHAnsi"/>
          <w:bCs/>
          <w:color w:val="231F20"/>
          <w:w w:val="115"/>
          <w:sz w:val="20"/>
          <w:szCs w:val="20"/>
        </w:rPr>
      </w:pPr>
      <w:r w:rsidRPr="000A33BA">
        <w:rPr>
          <w:rFonts w:asciiTheme="majorHAnsi" w:hAnsiTheme="majorHAnsi"/>
          <w:bCs/>
          <w:color w:val="231F20"/>
          <w:w w:val="115"/>
          <w:sz w:val="20"/>
          <w:szCs w:val="20"/>
        </w:rPr>
        <w:t>The integrative synthesis identifies multidimensional drivers influencing SME organisational performance through generative AI adoption.</w:t>
      </w:r>
    </w:p>
    <w:p w14:paraId="006EE376" w14:textId="77777777" w:rsidR="00C60F80" w:rsidRPr="000A33BA" w:rsidRDefault="00C60F80" w:rsidP="000A33BA">
      <w:pPr>
        <w:pStyle w:val="BodyText"/>
        <w:spacing w:before="78" w:line="273" w:lineRule="auto"/>
        <w:ind w:right="144"/>
        <w:jc w:val="both"/>
        <w:rPr>
          <w:rFonts w:asciiTheme="majorHAnsi" w:hAnsiTheme="majorHAnsi"/>
          <w:bCs/>
          <w:color w:val="231F20"/>
          <w:w w:val="115"/>
          <w:sz w:val="20"/>
          <w:szCs w:val="20"/>
        </w:rPr>
      </w:pPr>
    </w:p>
    <w:p w14:paraId="5E697897" w14:textId="77777777" w:rsidR="00C60F80" w:rsidRDefault="00C60F80" w:rsidP="000A33BA">
      <w:pPr>
        <w:pStyle w:val="BodyText"/>
        <w:spacing w:before="78" w:line="273" w:lineRule="auto"/>
        <w:ind w:right="144"/>
        <w:jc w:val="both"/>
        <w:rPr>
          <w:rFonts w:asciiTheme="majorHAnsi" w:hAnsiTheme="majorHAnsi"/>
          <w:b/>
          <w:bCs/>
          <w:color w:val="231F20"/>
          <w:w w:val="115"/>
        </w:rPr>
        <w:sectPr w:rsidR="00C60F80" w:rsidSect="005D590D">
          <w:type w:val="continuous"/>
          <w:pgSz w:w="11910" w:h="15880"/>
          <w:pgMar w:top="640" w:right="566" w:bottom="280" w:left="566" w:header="0" w:footer="432" w:gutter="0"/>
          <w:cols w:num="2" w:space="115"/>
          <w:docGrid w:linePitch="299"/>
        </w:sectPr>
      </w:pPr>
    </w:p>
    <w:p w14:paraId="7635A2ED" w14:textId="6E02043D" w:rsidR="000A33BA" w:rsidRPr="00C60F80" w:rsidRDefault="000A33BA" w:rsidP="000A33BA">
      <w:pPr>
        <w:pStyle w:val="BodyText"/>
        <w:spacing w:before="78" w:line="273" w:lineRule="auto"/>
        <w:ind w:right="144"/>
        <w:jc w:val="both"/>
        <w:rPr>
          <w:rFonts w:asciiTheme="majorHAnsi" w:hAnsiTheme="majorHAnsi"/>
          <w:b/>
          <w:bCs/>
          <w:color w:val="231F20"/>
          <w:w w:val="115"/>
        </w:rPr>
      </w:pPr>
      <w:r w:rsidRPr="00C60F80">
        <w:rPr>
          <w:rFonts w:asciiTheme="majorHAnsi" w:hAnsiTheme="majorHAnsi"/>
          <w:b/>
          <w:bCs/>
          <w:color w:val="231F20"/>
          <w:w w:val="115"/>
        </w:rPr>
        <w:t>Table 1. Generative AI Adoption Dimensions and Organisational Performance Outcomes in SMEs (Conceptual Analytical Model)</w:t>
      </w:r>
    </w:p>
    <w:p w14:paraId="785D8EBD" w14:textId="77777777" w:rsidR="00C60F80" w:rsidRPr="00C60F80" w:rsidRDefault="00C60F80" w:rsidP="00C60F80">
      <w:pPr>
        <w:spacing w:after="100" w:afterAutospacing="1"/>
        <w:outlineLvl w:val="2"/>
        <w:rPr>
          <w:rFonts w:asciiTheme="majorHAnsi" w:hAnsiTheme="majorHAnsi"/>
          <w:b/>
          <w:bCs/>
          <w:sz w:val="16"/>
          <w:szCs w:val="16"/>
        </w:rPr>
        <w:sectPr w:rsidR="00C60F80" w:rsidRPr="00C60F80" w:rsidSect="00C60F80">
          <w:type w:val="continuous"/>
          <w:pgSz w:w="11910" w:h="15880"/>
          <w:pgMar w:top="640" w:right="566" w:bottom="280" w:left="566" w:header="0" w:footer="432" w:gutter="0"/>
          <w:cols w:space="115"/>
          <w:docGrid w:linePitch="299"/>
        </w:sectPr>
      </w:pPr>
    </w:p>
    <w:tbl>
      <w:tblPr>
        <w:tblStyle w:val="TableGrid"/>
        <w:tblW w:w="0" w:type="auto"/>
        <w:tblLayout w:type="fixed"/>
        <w:tblLook w:val="04A0" w:firstRow="1" w:lastRow="0" w:firstColumn="1" w:lastColumn="0" w:noHBand="0" w:noVBand="1"/>
      </w:tblPr>
      <w:tblGrid>
        <w:gridCol w:w="1435"/>
        <w:gridCol w:w="1890"/>
        <w:gridCol w:w="2520"/>
        <w:gridCol w:w="2160"/>
        <w:gridCol w:w="2610"/>
      </w:tblGrid>
      <w:tr w:rsidR="000A33BA" w:rsidRPr="00C60F80" w14:paraId="62AA84AE" w14:textId="77777777" w:rsidTr="00C60F80">
        <w:tc>
          <w:tcPr>
            <w:tcW w:w="1435" w:type="dxa"/>
          </w:tcPr>
          <w:p w14:paraId="77ACA6DA" w14:textId="3860E5D3" w:rsidR="000A33BA" w:rsidRPr="00590D46" w:rsidRDefault="000A33BA" w:rsidP="00C60F80">
            <w:pPr>
              <w:jc w:val="center"/>
              <w:outlineLvl w:val="2"/>
              <w:rPr>
                <w:rFonts w:asciiTheme="majorHAnsi" w:hAnsiTheme="majorHAnsi"/>
                <w:b/>
                <w:bCs/>
                <w:sz w:val="20"/>
                <w:szCs w:val="20"/>
              </w:rPr>
            </w:pPr>
            <w:r w:rsidRPr="00590D46">
              <w:rPr>
                <w:rFonts w:asciiTheme="majorHAnsi" w:hAnsiTheme="majorHAnsi"/>
                <w:b/>
                <w:bCs/>
                <w:sz w:val="20"/>
                <w:szCs w:val="20"/>
              </w:rPr>
              <w:t>Adoption Dimension</w:t>
            </w:r>
          </w:p>
        </w:tc>
        <w:tc>
          <w:tcPr>
            <w:tcW w:w="1890" w:type="dxa"/>
          </w:tcPr>
          <w:p w14:paraId="3589F0EF" w14:textId="77777777" w:rsidR="000A33BA" w:rsidRPr="00590D46" w:rsidRDefault="000A33BA" w:rsidP="00C60F80">
            <w:pPr>
              <w:jc w:val="center"/>
              <w:outlineLvl w:val="2"/>
              <w:rPr>
                <w:rFonts w:asciiTheme="majorHAnsi" w:hAnsiTheme="majorHAnsi"/>
                <w:b/>
                <w:bCs/>
                <w:sz w:val="20"/>
                <w:szCs w:val="20"/>
              </w:rPr>
            </w:pPr>
            <w:r w:rsidRPr="00590D46">
              <w:rPr>
                <w:rFonts w:asciiTheme="majorHAnsi" w:hAnsiTheme="majorHAnsi"/>
                <w:b/>
                <w:bCs/>
                <w:sz w:val="20"/>
                <w:szCs w:val="20"/>
              </w:rPr>
              <w:t>Key Elements</w:t>
            </w:r>
          </w:p>
        </w:tc>
        <w:tc>
          <w:tcPr>
            <w:tcW w:w="2520" w:type="dxa"/>
            <w:vAlign w:val="center"/>
          </w:tcPr>
          <w:p w14:paraId="07ECBE7E" w14:textId="77777777" w:rsidR="000A33BA" w:rsidRPr="00590D46" w:rsidRDefault="000A33BA" w:rsidP="00C60F80">
            <w:pPr>
              <w:jc w:val="center"/>
              <w:rPr>
                <w:rFonts w:asciiTheme="majorHAnsi" w:hAnsiTheme="majorHAnsi"/>
                <w:b/>
                <w:bCs/>
                <w:sz w:val="20"/>
                <w:szCs w:val="20"/>
              </w:rPr>
            </w:pPr>
            <w:r w:rsidRPr="00590D46">
              <w:rPr>
                <w:rFonts w:asciiTheme="majorHAnsi" w:hAnsiTheme="majorHAnsi"/>
                <w:b/>
                <w:bCs/>
                <w:sz w:val="20"/>
                <w:szCs w:val="20"/>
              </w:rPr>
              <w:t>Organisational Outcomes</w:t>
            </w:r>
          </w:p>
        </w:tc>
        <w:tc>
          <w:tcPr>
            <w:tcW w:w="2160" w:type="dxa"/>
          </w:tcPr>
          <w:p w14:paraId="2054AE0F" w14:textId="77777777" w:rsidR="000A33BA" w:rsidRPr="00590D46" w:rsidRDefault="000A33BA" w:rsidP="00C60F80">
            <w:pPr>
              <w:jc w:val="center"/>
              <w:outlineLvl w:val="2"/>
              <w:rPr>
                <w:rFonts w:asciiTheme="majorHAnsi" w:hAnsiTheme="majorHAnsi"/>
                <w:b/>
                <w:bCs/>
                <w:sz w:val="20"/>
                <w:szCs w:val="20"/>
              </w:rPr>
            </w:pPr>
            <w:r w:rsidRPr="00590D46">
              <w:rPr>
                <w:rFonts w:asciiTheme="majorHAnsi" w:hAnsiTheme="majorHAnsi"/>
                <w:b/>
                <w:bCs/>
                <w:sz w:val="20"/>
                <w:szCs w:val="20"/>
              </w:rPr>
              <w:t>Direction of Influence</w:t>
            </w:r>
          </w:p>
        </w:tc>
        <w:tc>
          <w:tcPr>
            <w:tcW w:w="2610" w:type="dxa"/>
          </w:tcPr>
          <w:p w14:paraId="6BA63775" w14:textId="77777777" w:rsidR="000A33BA" w:rsidRPr="00590D46" w:rsidRDefault="000A33BA" w:rsidP="00C60F80">
            <w:pPr>
              <w:jc w:val="center"/>
              <w:outlineLvl w:val="2"/>
              <w:rPr>
                <w:rFonts w:asciiTheme="majorHAnsi" w:hAnsiTheme="majorHAnsi"/>
                <w:b/>
                <w:bCs/>
                <w:sz w:val="20"/>
                <w:szCs w:val="20"/>
              </w:rPr>
            </w:pPr>
            <w:r w:rsidRPr="00590D46">
              <w:rPr>
                <w:rFonts w:asciiTheme="majorHAnsi" w:hAnsiTheme="majorHAnsi"/>
                <w:b/>
                <w:bCs/>
                <w:sz w:val="20"/>
                <w:szCs w:val="20"/>
              </w:rPr>
              <w:t>Conceptual Influence Strength (1–5)</w:t>
            </w:r>
          </w:p>
        </w:tc>
      </w:tr>
      <w:tr w:rsidR="000A33BA" w:rsidRPr="00C60F80" w14:paraId="4293B6EE" w14:textId="77777777" w:rsidTr="00C60F80">
        <w:tc>
          <w:tcPr>
            <w:tcW w:w="1435" w:type="dxa"/>
            <w:vAlign w:val="center"/>
          </w:tcPr>
          <w:p w14:paraId="42B0E6BF"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Leadership Orientation</w:t>
            </w:r>
          </w:p>
        </w:tc>
        <w:tc>
          <w:tcPr>
            <w:tcW w:w="1890" w:type="dxa"/>
            <w:vAlign w:val="center"/>
          </w:tcPr>
          <w:p w14:paraId="1790F792"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Strategic vision, investment commitment</w:t>
            </w:r>
          </w:p>
        </w:tc>
        <w:tc>
          <w:tcPr>
            <w:tcW w:w="2520" w:type="dxa"/>
            <w:vAlign w:val="center"/>
          </w:tcPr>
          <w:p w14:paraId="2F7648C6"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Innovation intensity, competitive advantage</w:t>
            </w:r>
          </w:p>
        </w:tc>
        <w:tc>
          <w:tcPr>
            <w:tcW w:w="2160" w:type="dxa"/>
            <w:vAlign w:val="center"/>
          </w:tcPr>
          <w:p w14:paraId="67D29843"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Strong Positive</w:t>
            </w:r>
          </w:p>
        </w:tc>
        <w:tc>
          <w:tcPr>
            <w:tcW w:w="2610" w:type="dxa"/>
            <w:vAlign w:val="center"/>
          </w:tcPr>
          <w:p w14:paraId="1528355C"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4.8</w:t>
            </w:r>
          </w:p>
        </w:tc>
      </w:tr>
      <w:tr w:rsidR="00C60F80" w:rsidRPr="00C60F80" w14:paraId="707FA557" w14:textId="77777777" w:rsidTr="00C60F80">
        <w:tc>
          <w:tcPr>
            <w:tcW w:w="1435" w:type="dxa"/>
            <w:vAlign w:val="center"/>
          </w:tcPr>
          <w:p w14:paraId="37DD9E41"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Digital Maturity</w:t>
            </w:r>
          </w:p>
        </w:tc>
        <w:tc>
          <w:tcPr>
            <w:tcW w:w="1890" w:type="dxa"/>
            <w:vAlign w:val="center"/>
          </w:tcPr>
          <w:p w14:paraId="4C0CFCA1"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Analytics integration, automation level</w:t>
            </w:r>
          </w:p>
        </w:tc>
        <w:tc>
          <w:tcPr>
            <w:tcW w:w="2520" w:type="dxa"/>
            <w:vAlign w:val="center"/>
          </w:tcPr>
          <w:p w14:paraId="29447E3D"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ROI, scalability</w:t>
            </w:r>
          </w:p>
        </w:tc>
        <w:tc>
          <w:tcPr>
            <w:tcW w:w="2160" w:type="dxa"/>
            <w:vAlign w:val="center"/>
          </w:tcPr>
          <w:p w14:paraId="43ABA428"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Strong Positive</w:t>
            </w:r>
          </w:p>
        </w:tc>
        <w:tc>
          <w:tcPr>
            <w:tcW w:w="2610" w:type="dxa"/>
            <w:vAlign w:val="center"/>
          </w:tcPr>
          <w:p w14:paraId="2AC55CA3"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4.6</w:t>
            </w:r>
          </w:p>
        </w:tc>
      </w:tr>
      <w:tr w:rsidR="00C60F80" w:rsidRPr="00C60F80" w14:paraId="146B19D0" w14:textId="77777777" w:rsidTr="00C60F80">
        <w:tc>
          <w:tcPr>
            <w:tcW w:w="1435" w:type="dxa"/>
            <w:vAlign w:val="center"/>
          </w:tcPr>
          <w:p w14:paraId="6BF6E96C"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Technological Readiness</w:t>
            </w:r>
          </w:p>
        </w:tc>
        <w:tc>
          <w:tcPr>
            <w:tcW w:w="1890" w:type="dxa"/>
            <w:vAlign w:val="center"/>
          </w:tcPr>
          <w:p w14:paraId="7A65C6F2"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Infrastructure, cybersecurity</w:t>
            </w:r>
          </w:p>
        </w:tc>
        <w:tc>
          <w:tcPr>
            <w:tcW w:w="2520" w:type="dxa"/>
            <w:vAlign w:val="center"/>
          </w:tcPr>
          <w:p w14:paraId="2D8E35B7"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Operational efficiency</w:t>
            </w:r>
          </w:p>
        </w:tc>
        <w:tc>
          <w:tcPr>
            <w:tcW w:w="2160" w:type="dxa"/>
            <w:vAlign w:val="center"/>
          </w:tcPr>
          <w:p w14:paraId="43AF7470"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Strong Positive</w:t>
            </w:r>
          </w:p>
        </w:tc>
        <w:tc>
          <w:tcPr>
            <w:tcW w:w="2610" w:type="dxa"/>
            <w:vAlign w:val="center"/>
          </w:tcPr>
          <w:p w14:paraId="3D12C70D"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4.5</w:t>
            </w:r>
          </w:p>
        </w:tc>
      </w:tr>
      <w:tr w:rsidR="00C60F80" w:rsidRPr="00C60F80" w14:paraId="1AFDE9E3" w14:textId="77777777" w:rsidTr="00C60F80">
        <w:tc>
          <w:tcPr>
            <w:tcW w:w="1435" w:type="dxa"/>
            <w:vAlign w:val="center"/>
          </w:tcPr>
          <w:p w14:paraId="6BC9FD1A"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Ethical Governance</w:t>
            </w:r>
          </w:p>
        </w:tc>
        <w:tc>
          <w:tcPr>
            <w:tcW w:w="1890" w:type="dxa"/>
            <w:vAlign w:val="center"/>
          </w:tcPr>
          <w:p w14:paraId="3EFFC5A8"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Transparency, bias mitigation</w:t>
            </w:r>
          </w:p>
        </w:tc>
        <w:tc>
          <w:tcPr>
            <w:tcW w:w="2520" w:type="dxa"/>
            <w:vAlign w:val="center"/>
          </w:tcPr>
          <w:p w14:paraId="754E9791"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Customer trust, sustainable growth</w:t>
            </w:r>
          </w:p>
        </w:tc>
        <w:tc>
          <w:tcPr>
            <w:tcW w:w="2160" w:type="dxa"/>
            <w:vAlign w:val="center"/>
          </w:tcPr>
          <w:p w14:paraId="63199833"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Moderate–Strong Positive</w:t>
            </w:r>
          </w:p>
        </w:tc>
        <w:tc>
          <w:tcPr>
            <w:tcW w:w="2610" w:type="dxa"/>
            <w:vAlign w:val="center"/>
          </w:tcPr>
          <w:p w14:paraId="67F0C68C"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4.3</w:t>
            </w:r>
          </w:p>
        </w:tc>
      </w:tr>
      <w:tr w:rsidR="00C60F80" w:rsidRPr="00C60F80" w14:paraId="29767666" w14:textId="77777777" w:rsidTr="00C60F80">
        <w:tc>
          <w:tcPr>
            <w:tcW w:w="1435" w:type="dxa"/>
            <w:vAlign w:val="center"/>
          </w:tcPr>
          <w:p w14:paraId="1A027B10"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Organisational Culture</w:t>
            </w:r>
          </w:p>
        </w:tc>
        <w:tc>
          <w:tcPr>
            <w:tcW w:w="1890" w:type="dxa"/>
            <w:vAlign w:val="center"/>
          </w:tcPr>
          <w:p w14:paraId="6C37E73B"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Learning orientation</w:t>
            </w:r>
          </w:p>
        </w:tc>
        <w:tc>
          <w:tcPr>
            <w:tcW w:w="2520" w:type="dxa"/>
            <w:vAlign w:val="center"/>
          </w:tcPr>
          <w:p w14:paraId="37AEBB25"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AI utilisation depth</w:t>
            </w:r>
          </w:p>
        </w:tc>
        <w:tc>
          <w:tcPr>
            <w:tcW w:w="2160" w:type="dxa"/>
            <w:vAlign w:val="center"/>
          </w:tcPr>
          <w:p w14:paraId="454E45E5"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Moderate–Strong Positive</w:t>
            </w:r>
          </w:p>
        </w:tc>
        <w:tc>
          <w:tcPr>
            <w:tcW w:w="2610" w:type="dxa"/>
            <w:vAlign w:val="center"/>
          </w:tcPr>
          <w:p w14:paraId="66DC38A8"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4.2</w:t>
            </w:r>
          </w:p>
        </w:tc>
      </w:tr>
      <w:tr w:rsidR="00C60F80" w:rsidRPr="00C60F80" w14:paraId="5AC62C85" w14:textId="77777777" w:rsidTr="00C60F80">
        <w:tc>
          <w:tcPr>
            <w:tcW w:w="1435" w:type="dxa"/>
            <w:vAlign w:val="center"/>
          </w:tcPr>
          <w:p w14:paraId="40A8FA13"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Knowledge Management</w:t>
            </w:r>
          </w:p>
        </w:tc>
        <w:tc>
          <w:tcPr>
            <w:tcW w:w="1890" w:type="dxa"/>
            <w:vAlign w:val="center"/>
          </w:tcPr>
          <w:p w14:paraId="2D8E8EA2"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Data sharing systems</w:t>
            </w:r>
          </w:p>
        </w:tc>
        <w:tc>
          <w:tcPr>
            <w:tcW w:w="2520" w:type="dxa"/>
            <w:vAlign w:val="center"/>
          </w:tcPr>
          <w:p w14:paraId="5102ADA0"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Decision quality</w:t>
            </w:r>
          </w:p>
        </w:tc>
        <w:tc>
          <w:tcPr>
            <w:tcW w:w="2160" w:type="dxa"/>
            <w:vAlign w:val="center"/>
          </w:tcPr>
          <w:p w14:paraId="6ECBA59E"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Moderate Positive</w:t>
            </w:r>
          </w:p>
        </w:tc>
        <w:tc>
          <w:tcPr>
            <w:tcW w:w="2610" w:type="dxa"/>
            <w:vAlign w:val="center"/>
          </w:tcPr>
          <w:p w14:paraId="159D9E14"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4.1</w:t>
            </w:r>
          </w:p>
        </w:tc>
      </w:tr>
      <w:tr w:rsidR="00C60F80" w:rsidRPr="00C60F80" w14:paraId="30AE4BC8" w14:textId="77777777" w:rsidTr="00C60F80">
        <w:tc>
          <w:tcPr>
            <w:tcW w:w="1435" w:type="dxa"/>
            <w:vAlign w:val="center"/>
          </w:tcPr>
          <w:p w14:paraId="7FA6E08D"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Financial Capacity</w:t>
            </w:r>
          </w:p>
        </w:tc>
        <w:tc>
          <w:tcPr>
            <w:tcW w:w="1890" w:type="dxa"/>
            <w:vAlign w:val="center"/>
          </w:tcPr>
          <w:p w14:paraId="40017330"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Capital availability</w:t>
            </w:r>
          </w:p>
        </w:tc>
        <w:tc>
          <w:tcPr>
            <w:tcW w:w="2520" w:type="dxa"/>
            <w:vAlign w:val="center"/>
          </w:tcPr>
          <w:p w14:paraId="12ACDCEB"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Implementation scale</w:t>
            </w:r>
          </w:p>
        </w:tc>
        <w:tc>
          <w:tcPr>
            <w:tcW w:w="2160" w:type="dxa"/>
            <w:vAlign w:val="center"/>
          </w:tcPr>
          <w:p w14:paraId="0CA3ED1B"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Moderate Positive</w:t>
            </w:r>
          </w:p>
        </w:tc>
        <w:tc>
          <w:tcPr>
            <w:tcW w:w="2610" w:type="dxa"/>
            <w:vAlign w:val="center"/>
          </w:tcPr>
          <w:p w14:paraId="07CBCE19"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3.9</w:t>
            </w:r>
          </w:p>
        </w:tc>
      </w:tr>
      <w:tr w:rsidR="00C60F80" w:rsidRPr="00C60F80" w14:paraId="5A93ABDB" w14:textId="77777777" w:rsidTr="00C60F80">
        <w:tc>
          <w:tcPr>
            <w:tcW w:w="1435" w:type="dxa"/>
            <w:vAlign w:val="center"/>
          </w:tcPr>
          <w:p w14:paraId="299E0210"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Environmental Pressure</w:t>
            </w:r>
          </w:p>
        </w:tc>
        <w:tc>
          <w:tcPr>
            <w:tcW w:w="1890" w:type="dxa"/>
            <w:vAlign w:val="center"/>
          </w:tcPr>
          <w:p w14:paraId="2DC1E173"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Competition, regulation</w:t>
            </w:r>
          </w:p>
        </w:tc>
        <w:tc>
          <w:tcPr>
            <w:tcW w:w="2520" w:type="dxa"/>
            <w:vAlign w:val="center"/>
          </w:tcPr>
          <w:p w14:paraId="01F2D71E"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Adoption speed</w:t>
            </w:r>
          </w:p>
        </w:tc>
        <w:tc>
          <w:tcPr>
            <w:tcW w:w="2160" w:type="dxa"/>
            <w:vAlign w:val="center"/>
          </w:tcPr>
          <w:p w14:paraId="5C33414F"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Moderate Positive</w:t>
            </w:r>
          </w:p>
        </w:tc>
        <w:tc>
          <w:tcPr>
            <w:tcW w:w="2610" w:type="dxa"/>
            <w:vAlign w:val="center"/>
          </w:tcPr>
          <w:p w14:paraId="355D625F" w14:textId="77777777" w:rsidR="000A33BA" w:rsidRPr="00590D46" w:rsidRDefault="000A33BA" w:rsidP="00C60F80">
            <w:pPr>
              <w:jc w:val="center"/>
              <w:rPr>
                <w:rFonts w:asciiTheme="majorHAnsi" w:hAnsiTheme="majorHAnsi"/>
                <w:sz w:val="20"/>
                <w:szCs w:val="20"/>
              </w:rPr>
            </w:pPr>
            <w:r w:rsidRPr="00590D46">
              <w:rPr>
                <w:rFonts w:asciiTheme="majorHAnsi" w:hAnsiTheme="majorHAnsi"/>
                <w:sz w:val="20"/>
                <w:szCs w:val="20"/>
              </w:rPr>
              <w:t>3.8</w:t>
            </w:r>
          </w:p>
        </w:tc>
      </w:tr>
    </w:tbl>
    <w:p w14:paraId="493FF070" w14:textId="77777777" w:rsidR="00C60F80" w:rsidRDefault="00C60F80" w:rsidP="000A33BA">
      <w:pPr>
        <w:pStyle w:val="BodyText"/>
        <w:spacing w:before="78" w:line="273" w:lineRule="auto"/>
        <w:ind w:right="144"/>
        <w:jc w:val="both"/>
        <w:rPr>
          <w:rFonts w:asciiTheme="majorHAnsi" w:hAnsiTheme="majorHAnsi"/>
          <w:b/>
          <w:bCs/>
          <w:color w:val="231F20"/>
          <w:w w:val="115"/>
          <w:sz w:val="20"/>
          <w:szCs w:val="20"/>
        </w:rPr>
        <w:sectPr w:rsidR="00C60F80" w:rsidSect="00C60F80">
          <w:type w:val="continuous"/>
          <w:pgSz w:w="11910" w:h="15880"/>
          <w:pgMar w:top="640" w:right="566" w:bottom="280" w:left="566" w:header="0" w:footer="432" w:gutter="0"/>
          <w:cols w:space="115"/>
          <w:docGrid w:linePitch="299"/>
        </w:sectPr>
      </w:pPr>
    </w:p>
    <w:p w14:paraId="04FAD08A" w14:textId="77777777" w:rsidR="00C60F80" w:rsidRPr="00C60F80" w:rsidRDefault="00C60F80" w:rsidP="00C60F80">
      <w:pPr>
        <w:pStyle w:val="BodyText"/>
        <w:spacing w:before="78" w:line="273" w:lineRule="auto"/>
        <w:ind w:right="144"/>
        <w:jc w:val="both"/>
        <w:rPr>
          <w:rFonts w:asciiTheme="majorHAnsi" w:hAnsiTheme="majorHAnsi"/>
          <w:b/>
          <w:bCs/>
          <w:color w:val="231F20"/>
          <w:w w:val="115"/>
          <w:sz w:val="20"/>
          <w:szCs w:val="20"/>
        </w:rPr>
      </w:pPr>
      <w:r w:rsidRPr="00C60F80">
        <w:rPr>
          <w:rFonts w:asciiTheme="majorHAnsi" w:hAnsiTheme="majorHAnsi"/>
          <w:b/>
          <w:bCs/>
          <w:color w:val="231F20"/>
          <w:w w:val="115"/>
          <w:sz w:val="20"/>
          <w:szCs w:val="20"/>
        </w:rPr>
        <w:t>Interpretation:</w:t>
      </w:r>
    </w:p>
    <w:p w14:paraId="2FFA2924" w14:textId="251EF176" w:rsidR="000A33BA" w:rsidRPr="00C60F80" w:rsidRDefault="00C60F80" w:rsidP="00C60F80">
      <w:pPr>
        <w:pStyle w:val="BodyText"/>
        <w:spacing w:before="78" w:line="273" w:lineRule="auto"/>
        <w:ind w:right="144"/>
        <w:jc w:val="both"/>
        <w:rPr>
          <w:rFonts w:asciiTheme="majorHAnsi" w:hAnsiTheme="majorHAnsi"/>
          <w:bCs/>
          <w:color w:val="231F20"/>
          <w:w w:val="115"/>
          <w:sz w:val="20"/>
          <w:szCs w:val="20"/>
        </w:rPr>
      </w:pPr>
      <w:r w:rsidRPr="00C60F80">
        <w:rPr>
          <w:rFonts w:asciiTheme="majorHAnsi" w:hAnsiTheme="majorHAnsi"/>
          <w:bCs/>
          <w:color w:val="231F20"/>
          <w:w w:val="115"/>
          <w:sz w:val="20"/>
          <w:szCs w:val="20"/>
        </w:rPr>
        <w:t>Leadership orientation and digital maturity demonstrate the strongest conceptual influence on performance outcomes, reinforcing the argument that AI value creation is primarily capability-driven rather than technology-driven.</w:t>
      </w:r>
    </w:p>
    <w:p w14:paraId="175C2188" w14:textId="70A899CE" w:rsidR="0007677D" w:rsidRPr="00E647B0" w:rsidRDefault="0007677D" w:rsidP="0007677D">
      <w:pPr>
        <w:pStyle w:val="BodyText"/>
        <w:spacing w:before="78" w:line="273" w:lineRule="auto"/>
        <w:ind w:right="144"/>
        <w:jc w:val="both"/>
        <w:rPr>
          <w:rFonts w:asciiTheme="majorHAnsi" w:hAnsiTheme="majorHAnsi"/>
          <w:bCs/>
          <w:color w:val="231F20"/>
          <w:w w:val="115"/>
          <w:sz w:val="20"/>
          <w:szCs w:val="20"/>
        </w:rPr>
      </w:pPr>
    </w:p>
    <w:p w14:paraId="0F216535" w14:textId="6AE37EBF" w:rsidR="0007677D" w:rsidRPr="00E647B0" w:rsidRDefault="0007677D" w:rsidP="0007677D">
      <w:pPr>
        <w:pStyle w:val="BodyText"/>
        <w:spacing w:before="78" w:line="273" w:lineRule="auto"/>
        <w:ind w:right="144"/>
        <w:jc w:val="both"/>
        <w:rPr>
          <w:rFonts w:asciiTheme="majorHAnsi" w:hAnsiTheme="majorHAnsi"/>
          <w:color w:val="231F20"/>
          <w:w w:val="115"/>
          <w:sz w:val="20"/>
          <w:szCs w:val="20"/>
        </w:rPr>
      </w:pPr>
      <w:r w:rsidRPr="00E647B0">
        <w:rPr>
          <w:rFonts w:asciiTheme="majorHAnsi" w:hAnsiTheme="majorHAnsi"/>
          <w:b/>
          <w:bCs/>
          <w:color w:val="231F20"/>
          <w:w w:val="115"/>
          <w:sz w:val="20"/>
          <w:szCs w:val="20"/>
        </w:rPr>
        <w:t>DISCUSSION</w:t>
      </w:r>
    </w:p>
    <w:p w14:paraId="4A2F40F7" w14:textId="77777777" w:rsidR="00C60F80" w:rsidRPr="00C60F80" w:rsidRDefault="00C60F80" w:rsidP="00C60F80">
      <w:pPr>
        <w:pStyle w:val="BodyText"/>
        <w:spacing w:before="78" w:line="360" w:lineRule="auto"/>
        <w:ind w:right="144"/>
        <w:jc w:val="both"/>
        <w:rPr>
          <w:rFonts w:asciiTheme="majorHAnsi" w:hAnsiTheme="majorHAnsi"/>
          <w:color w:val="231F20"/>
          <w:w w:val="115"/>
          <w:sz w:val="20"/>
          <w:szCs w:val="20"/>
        </w:rPr>
      </w:pPr>
      <w:r w:rsidRPr="00C60F80">
        <w:rPr>
          <w:rFonts w:asciiTheme="majorHAnsi" w:hAnsiTheme="majorHAnsi"/>
          <w:color w:val="231F20"/>
          <w:w w:val="115"/>
          <w:sz w:val="20"/>
          <w:szCs w:val="20"/>
        </w:rPr>
        <w:t xml:space="preserve">The findings reinforce the proposition that generative AI adoption in SMEs constitutes a systemic organisational transformation rather than isolated technological implementation. Performance benefits </w:t>
      </w:r>
      <w:proofErr w:type="spellStart"/>
      <w:r w:rsidRPr="00C60F80">
        <w:rPr>
          <w:rFonts w:asciiTheme="majorHAnsi" w:hAnsiTheme="majorHAnsi"/>
          <w:color w:val="231F20"/>
          <w:w w:val="115"/>
          <w:sz w:val="20"/>
          <w:szCs w:val="20"/>
        </w:rPr>
        <w:t>materialise</w:t>
      </w:r>
      <w:proofErr w:type="spellEnd"/>
      <w:r w:rsidRPr="00C60F80">
        <w:rPr>
          <w:rFonts w:asciiTheme="majorHAnsi" w:hAnsiTheme="majorHAnsi"/>
          <w:color w:val="231F20"/>
          <w:w w:val="115"/>
          <w:sz w:val="20"/>
          <w:szCs w:val="20"/>
        </w:rPr>
        <w:t xml:space="preserve"> when technological readiness, leadership orientation, knowledge management, </w:t>
      </w:r>
      <w:r w:rsidRPr="00C60F80">
        <w:rPr>
          <w:rFonts w:asciiTheme="majorHAnsi" w:hAnsiTheme="majorHAnsi"/>
          <w:color w:val="231F20"/>
          <w:w w:val="115"/>
          <w:sz w:val="20"/>
          <w:szCs w:val="20"/>
        </w:rPr>
        <w:t>cybersecurity preparedness, and ethical governance converge.</w:t>
      </w:r>
    </w:p>
    <w:p w14:paraId="11DC1F39" w14:textId="77777777" w:rsidR="00C60F80" w:rsidRPr="00C60F80" w:rsidRDefault="00C60F80" w:rsidP="00C60F80">
      <w:pPr>
        <w:pStyle w:val="BodyText"/>
        <w:spacing w:before="78" w:line="360" w:lineRule="auto"/>
        <w:ind w:right="144"/>
        <w:jc w:val="both"/>
        <w:rPr>
          <w:rFonts w:asciiTheme="majorHAnsi" w:hAnsiTheme="majorHAnsi"/>
          <w:color w:val="231F20"/>
          <w:w w:val="115"/>
          <w:sz w:val="20"/>
          <w:szCs w:val="20"/>
        </w:rPr>
      </w:pPr>
      <w:r w:rsidRPr="00C60F80">
        <w:rPr>
          <w:rFonts w:asciiTheme="majorHAnsi" w:hAnsiTheme="majorHAnsi"/>
          <w:color w:val="231F20"/>
          <w:w w:val="115"/>
          <w:sz w:val="20"/>
          <w:szCs w:val="20"/>
        </w:rPr>
        <w:t>Theoretically, integrating TAM and TOE clarifies that perceived usefulness must be embedded within organisational capability structures. RBV elucidates why resource heterogeneity explains performance variance among similarly adopting SMEs. Digital transformation theory ensures alignment between AI initiatives and strategic objectives.</w:t>
      </w:r>
    </w:p>
    <w:p w14:paraId="44A678DE" w14:textId="77777777" w:rsidR="00C60F80" w:rsidRPr="00C60F80" w:rsidRDefault="00C60F80" w:rsidP="00C60F80">
      <w:pPr>
        <w:pStyle w:val="BodyText"/>
        <w:spacing w:before="78" w:line="360" w:lineRule="auto"/>
        <w:ind w:right="144"/>
        <w:jc w:val="both"/>
        <w:rPr>
          <w:rFonts w:asciiTheme="majorHAnsi" w:hAnsiTheme="majorHAnsi"/>
          <w:color w:val="231F20"/>
          <w:w w:val="115"/>
          <w:sz w:val="20"/>
          <w:szCs w:val="20"/>
        </w:rPr>
      </w:pPr>
      <w:r w:rsidRPr="00C60F80">
        <w:rPr>
          <w:rFonts w:asciiTheme="majorHAnsi" w:hAnsiTheme="majorHAnsi"/>
          <w:color w:val="231F20"/>
          <w:w w:val="115"/>
          <w:sz w:val="20"/>
          <w:szCs w:val="20"/>
        </w:rPr>
        <w:t xml:space="preserve">Ethical governance emerges as a central moderating mechanism. Generative AI systems generate outputs that directly influence customer relationships and corporate reputation. Without transparency and </w:t>
      </w:r>
      <w:r w:rsidRPr="00C60F80">
        <w:rPr>
          <w:rFonts w:asciiTheme="majorHAnsi" w:hAnsiTheme="majorHAnsi"/>
          <w:color w:val="231F20"/>
          <w:w w:val="115"/>
          <w:sz w:val="20"/>
          <w:szCs w:val="20"/>
        </w:rPr>
        <w:lastRenderedPageBreak/>
        <w:t>accountability frameworks, performance gains may be short-lived. Rana et al. (2024) empirically confirm ethical alignment as performance amplifier.</w:t>
      </w:r>
    </w:p>
    <w:p w14:paraId="4177A81A" w14:textId="77777777" w:rsidR="00C60F80" w:rsidRPr="00C60F80" w:rsidRDefault="00C60F80" w:rsidP="00C60F80">
      <w:pPr>
        <w:pStyle w:val="BodyText"/>
        <w:spacing w:before="78" w:line="360" w:lineRule="auto"/>
        <w:ind w:right="144"/>
        <w:jc w:val="both"/>
        <w:rPr>
          <w:rFonts w:asciiTheme="majorHAnsi" w:hAnsiTheme="majorHAnsi"/>
          <w:color w:val="231F20"/>
          <w:w w:val="115"/>
          <w:sz w:val="20"/>
          <w:szCs w:val="20"/>
        </w:rPr>
      </w:pPr>
      <w:r w:rsidRPr="00C60F80">
        <w:rPr>
          <w:rFonts w:asciiTheme="majorHAnsi" w:hAnsiTheme="majorHAnsi"/>
          <w:color w:val="231F20"/>
          <w:w w:val="115"/>
          <w:sz w:val="20"/>
          <w:szCs w:val="20"/>
        </w:rPr>
        <w:t>Digital maturity serves as a performance multiplier. SMEs with advanced data infrastructures and analytics capabilities derive disproportionate returns. Conversely, firms adopting AI prematurely may encounter implementation inefficiencies.</w:t>
      </w:r>
    </w:p>
    <w:p w14:paraId="50E3F864" w14:textId="2678C3EA" w:rsidR="008318E2" w:rsidRPr="00E647B0" w:rsidRDefault="00C60F80" w:rsidP="00C60F80">
      <w:pPr>
        <w:pStyle w:val="BodyText"/>
        <w:spacing w:before="78" w:line="360" w:lineRule="auto"/>
        <w:ind w:right="144"/>
        <w:jc w:val="both"/>
        <w:rPr>
          <w:rFonts w:asciiTheme="majorHAnsi" w:hAnsiTheme="majorHAnsi"/>
          <w:color w:val="231F20"/>
          <w:w w:val="115"/>
          <w:sz w:val="20"/>
          <w:szCs w:val="20"/>
        </w:rPr>
      </w:pPr>
      <w:r w:rsidRPr="00C60F80">
        <w:rPr>
          <w:rFonts w:asciiTheme="majorHAnsi" w:hAnsiTheme="majorHAnsi"/>
          <w:color w:val="231F20"/>
          <w:w w:val="115"/>
          <w:sz w:val="20"/>
          <w:szCs w:val="20"/>
        </w:rPr>
        <w:t>Limitations include reliance on secondary synthesis and cross-context heterogeneity. Future research should employ longitudinal mixed-method designs to quantify moderating effects and explore sector-specific dynamics.</w:t>
      </w:r>
    </w:p>
    <w:p w14:paraId="55BEDBED" w14:textId="657A514A" w:rsidR="001944DA" w:rsidRPr="00E647B0" w:rsidRDefault="001944DA" w:rsidP="001944DA">
      <w:pPr>
        <w:spacing w:before="100" w:beforeAutospacing="1" w:after="100" w:afterAutospacing="1"/>
        <w:jc w:val="both"/>
        <w:rPr>
          <w:rFonts w:asciiTheme="majorHAnsi" w:hAnsiTheme="majorHAnsi"/>
          <w:b/>
          <w:bCs/>
          <w:sz w:val="20"/>
          <w:szCs w:val="20"/>
        </w:rPr>
      </w:pPr>
      <w:r w:rsidRPr="00E647B0">
        <w:rPr>
          <w:rFonts w:asciiTheme="majorHAnsi" w:hAnsiTheme="majorHAnsi"/>
          <w:b/>
          <w:bCs/>
          <w:sz w:val="20"/>
          <w:szCs w:val="20"/>
        </w:rPr>
        <w:t>CONCLUSION</w:t>
      </w:r>
    </w:p>
    <w:p w14:paraId="4227C30A" w14:textId="77777777" w:rsidR="00C60F80" w:rsidRPr="00C60F80" w:rsidRDefault="00C60F80" w:rsidP="00C60F80">
      <w:pPr>
        <w:spacing w:line="360" w:lineRule="auto"/>
        <w:jc w:val="both"/>
        <w:rPr>
          <w:rFonts w:asciiTheme="majorHAnsi" w:hAnsiTheme="majorHAnsi"/>
          <w:sz w:val="20"/>
          <w:szCs w:val="20"/>
        </w:rPr>
      </w:pPr>
      <w:r w:rsidRPr="00C60F80">
        <w:rPr>
          <w:rFonts w:asciiTheme="majorHAnsi" w:hAnsiTheme="majorHAnsi"/>
          <w:sz w:val="20"/>
          <w:szCs w:val="20"/>
        </w:rPr>
        <w:t>Generative artificial intelligence represents a transformative strategic capability for SMEs. Yet, its performance impact depends on multidimensional readiness encompassing technological infrastructure, leadership commitment, knowledge management, cybersecurity safeguards, digital maturity, and ethical governance. SMEs that orchestrate these elements effectively achieve sustainable competitive advantage, enhanced productivity, operational efficiency, innovation capability, and revenue growth.</w:t>
      </w:r>
    </w:p>
    <w:p w14:paraId="208D7494" w14:textId="0A7234D2" w:rsidR="001944DA" w:rsidRPr="00E647B0" w:rsidRDefault="00C60F80" w:rsidP="00C60F80">
      <w:pPr>
        <w:spacing w:line="360" w:lineRule="auto"/>
        <w:jc w:val="both"/>
        <w:rPr>
          <w:rFonts w:asciiTheme="majorHAnsi" w:hAnsiTheme="majorHAnsi"/>
          <w:sz w:val="20"/>
          <w:szCs w:val="20"/>
        </w:rPr>
      </w:pPr>
      <w:r w:rsidRPr="00C60F80">
        <w:rPr>
          <w:rFonts w:asciiTheme="majorHAnsi" w:hAnsiTheme="majorHAnsi"/>
          <w:sz w:val="20"/>
          <w:szCs w:val="20"/>
        </w:rPr>
        <w:t xml:space="preserve">The integrated generative AI performance architecture proposed herein reconciles </w:t>
      </w:r>
      <w:proofErr w:type="spellStart"/>
      <w:r w:rsidRPr="00C60F80">
        <w:rPr>
          <w:rFonts w:asciiTheme="majorHAnsi" w:hAnsiTheme="majorHAnsi"/>
          <w:sz w:val="20"/>
          <w:szCs w:val="20"/>
        </w:rPr>
        <w:t>behavioural</w:t>
      </w:r>
      <w:proofErr w:type="spellEnd"/>
      <w:r w:rsidRPr="00C60F80">
        <w:rPr>
          <w:rFonts w:asciiTheme="majorHAnsi" w:hAnsiTheme="majorHAnsi"/>
          <w:sz w:val="20"/>
          <w:szCs w:val="20"/>
        </w:rPr>
        <w:t xml:space="preserve">, </w:t>
      </w:r>
      <w:proofErr w:type="spellStart"/>
      <w:r w:rsidRPr="00C60F80">
        <w:rPr>
          <w:rFonts w:asciiTheme="majorHAnsi" w:hAnsiTheme="majorHAnsi"/>
          <w:sz w:val="20"/>
          <w:szCs w:val="20"/>
        </w:rPr>
        <w:t>organisational</w:t>
      </w:r>
      <w:proofErr w:type="spellEnd"/>
      <w:r w:rsidRPr="00C60F80">
        <w:rPr>
          <w:rFonts w:asciiTheme="majorHAnsi" w:hAnsiTheme="majorHAnsi"/>
          <w:sz w:val="20"/>
          <w:szCs w:val="20"/>
        </w:rPr>
        <w:t xml:space="preserve">, environmental, and resource-based perspectives into a unified theoretical framework. Policymakers should facilitate digital infrastructure development and ethical standards, while SME managers must </w:t>
      </w:r>
      <w:proofErr w:type="spellStart"/>
      <w:r w:rsidRPr="00C60F80">
        <w:rPr>
          <w:rFonts w:asciiTheme="majorHAnsi" w:hAnsiTheme="majorHAnsi"/>
          <w:sz w:val="20"/>
          <w:szCs w:val="20"/>
        </w:rPr>
        <w:t>prioritise</w:t>
      </w:r>
      <w:proofErr w:type="spellEnd"/>
      <w:r w:rsidRPr="00C60F80">
        <w:rPr>
          <w:rFonts w:asciiTheme="majorHAnsi" w:hAnsiTheme="majorHAnsi"/>
          <w:sz w:val="20"/>
          <w:szCs w:val="20"/>
        </w:rPr>
        <w:t xml:space="preserve"> strategic alignment and capability building. Generative AI is not merely a technological instrument; it is a structural transformation mechanism whose value is </w:t>
      </w:r>
      <w:proofErr w:type="spellStart"/>
      <w:r w:rsidRPr="00C60F80">
        <w:rPr>
          <w:rFonts w:asciiTheme="majorHAnsi" w:hAnsiTheme="majorHAnsi"/>
          <w:sz w:val="20"/>
          <w:szCs w:val="20"/>
        </w:rPr>
        <w:t>realised</w:t>
      </w:r>
      <w:proofErr w:type="spellEnd"/>
      <w:r w:rsidRPr="00C60F80">
        <w:rPr>
          <w:rFonts w:asciiTheme="majorHAnsi" w:hAnsiTheme="majorHAnsi"/>
          <w:sz w:val="20"/>
          <w:szCs w:val="20"/>
        </w:rPr>
        <w:t xml:space="preserve"> through responsible and strategic integration.</w:t>
      </w:r>
    </w:p>
    <w:p w14:paraId="5827C631" w14:textId="77777777" w:rsidR="001944DA" w:rsidRPr="00E647B0" w:rsidRDefault="001944DA" w:rsidP="001944DA">
      <w:pPr>
        <w:pStyle w:val="BodyText"/>
        <w:spacing w:before="78" w:line="360" w:lineRule="auto"/>
        <w:ind w:right="144"/>
        <w:jc w:val="both"/>
        <w:rPr>
          <w:rFonts w:asciiTheme="majorHAnsi" w:hAnsiTheme="majorHAnsi"/>
          <w:color w:val="231F20"/>
          <w:w w:val="115"/>
          <w:sz w:val="20"/>
          <w:szCs w:val="20"/>
        </w:rPr>
      </w:pPr>
    </w:p>
    <w:p w14:paraId="4906735A" w14:textId="0FE5D343" w:rsidR="000E1817" w:rsidRPr="00E647B0" w:rsidRDefault="00727DFC" w:rsidP="001944DA">
      <w:pPr>
        <w:pStyle w:val="BodyText"/>
        <w:spacing w:before="78" w:line="360" w:lineRule="auto"/>
        <w:ind w:right="144" w:firstLine="360"/>
        <w:rPr>
          <w:rFonts w:asciiTheme="majorHAnsi" w:hAnsiTheme="majorHAnsi"/>
          <w:b/>
          <w:color w:val="231F20"/>
          <w:w w:val="115"/>
          <w:sz w:val="20"/>
          <w:szCs w:val="20"/>
        </w:rPr>
      </w:pPr>
      <w:r w:rsidRPr="00E647B0">
        <w:rPr>
          <w:rFonts w:asciiTheme="majorHAnsi" w:hAnsiTheme="majorHAnsi"/>
          <w:b/>
          <w:color w:val="231F20"/>
          <w:w w:val="115"/>
          <w:sz w:val="20"/>
          <w:szCs w:val="20"/>
        </w:rPr>
        <w:t>REFERENCES</w:t>
      </w:r>
    </w:p>
    <w:p w14:paraId="2FC741D4"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Abubakar</w:t>
      </w:r>
      <w:proofErr w:type="spellEnd"/>
      <w:r w:rsidRPr="00C60F80">
        <w:rPr>
          <w:rFonts w:asciiTheme="majorHAnsi" w:hAnsiTheme="majorHAnsi"/>
          <w:sz w:val="20"/>
          <w:szCs w:val="20"/>
        </w:rPr>
        <w:t xml:space="preserve">, A. M., </w:t>
      </w:r>
      <w:proofErr w:type="spellStart"/>
      <w:r w:rsidRPr="00C60F80">
        <w:rPr>
          <w:rFonts w:asciiTheme="majorHAnsi" w:hAnsiTheme="majorHAnsi"/>
          <w:sz w:val="20"/>
          <w:szCs w:val="20"/>
        </w:rPr>
        <w:t>Elrehail</w:t>
      </w:r>
      <w:proofErr w:type="spellEnd"/>
      <w:r w:rsidRPr="00C60F80">
        <w:rPr>
          <w:rFonts w:asciiTheme="majorHAnsi" w:hAnsiTheme="majorHAnsi"/>
          <w:sz w:val="20"/>
          <w:szCs w:val="20"/>
        </w:rPr>
        <w:t xml:space="preserve">, H., </w:t>
      </w:r>
      <w:proofErr w:type="spellStart"/>
      <w:r w:rsidRPr="00C60F80">
        <w:rPr>
          <w:rFonts w:asciiTheme="majorHAnsi" w:hAnsiTheme="majorHAnsi"/>
          <w:sz w:val="20"/>
          <w:szCs w:val="20"/>
        </w:rPr>
        <w:t>Alatailat</w:t>
      </w:r>
      <w:proofErr w:type="spellEnd"/>
      <w:r w:rsidRPr="00C60F80">
        <w:rPr>
          <w:rFonts w:asciiTheme="majorHAnsi" w:hAnsiTheme="majorHAnsi"/>
          <w:sz w:val="20"/>
          <w:szCs w:val="20"/>
        </w:rPr>
        <w:t xml:space="preserve">, M. A., &amp; </w:t>
      </w:r>
      <w:proofErr w:type="spellStart"/>
      <w:r w:rsidRPr="00C60F80">
        <w:rPr>
          <w:rFonts w:asciiTheme="majorHAnsi" w:hAnsiTheme="majorHAnsi"/>
          <w:sz w:val="20"/>
          <w:szCs w:val="20"/>
        </w:rPr>
        <w:t>Elçi</w:t>
      </w:r>
      <w:proofErr w:type="spellEnd"/>
      <w:r w:rsidRPr="00C60F80">
        <w:rPr>
          <w:rFonts w:asciiTheme="majorHAnsi" w:hAnsiTheme="majorHAnsi"/>
          <w:sz w:val="20"/>
          <w:szCs w:val="20"/>
        </w:rPr>
        <w:t>, A. (2019). Knowledge management, decision-making style and organizational performance. Journal of Innovation &amp; Knowledge, 4(2), 104–114.</w:t>
      </w:r>
    </w:p>
    <w:p w14:paraId="0A35332B"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Almashawreh</w:t>
      </w:r>
      <w:proofErr w:type="spellEnd"/>
      <w:r w:rsidRPr="00C60F80">
        <w:rPr>
          <w:rFonts w:asciiTheme="majorHAnsi" w:hAnsiTheme="majorHAnsi"/>
          <w:sz w:val="20"/>
          <w:szCs w:val="20"/>
        </w:rPr>
        <w:t xml:space="preserve">, R., </w:t>
      </w:r>
      <w:proofErr w:type="spellStart"/>
      <w:r w:rsidRPr="00C60F80">
        <w:rPr>
          <w:rFonts w:asciiTheme="majorHAnsi" w:hAnsiTheme="majorHAnsi"/>
          <w:sz w:val="20"/>
          <w:szCs w:val="20"/>
        </w:rPr>
        <w:t>Talukder</w:t>
      </w:r>
      <w:proofErr w:type="spellEnd"/>
      <w:r w:rsidRPr="00C60F80">
        <w:rPr>
          <w:rFonts w:asciiTheme="majorHAnsi" w:hAnsiTheme="majorHAnsi"/>
          <w:sz w:val="20"/>
          <w:szCs w:val="20"/>
        </w:rPr>
        <w:t xml:space="preserve">, M., </w:t>
      </w:r>
      <w:proofErr w:type="spellStart"/>
      <w:r w:rsidRPr="00C60F80">
        <w:rPr>
          <w:rFonts w:asciiTheme="majorHAnsi" w:hAnsiTheme="majorHAnsi"/>
          <w:sz w:val="20"/>
          <w:szCs w:val="20"/>
        </w:rPr>
        <w:t>Charath</w:t>
      </w:r>
      <w:proofErr w:type="spellEnd"/>
      <w:r w:rsidRPr="00C60F80">
        <w:rPr>
          <w:rFonts w:asciiTheme="majorHAnsi" w:hAnsiTheme="majorHAnsi"/>
          <w:sz w:val="20"/>
          <w:szCs w:val="20"/>
        </w:rPr>
        <w:t>, S. K., &amp; Khan, M. I. (2024). AI adoption in Jordanian SMEs: The influence of technological and organizational orientations. SAGE Open, 14(2), 1–15.</w:t>
      </w:r>
    </w:p>
    <w:p w14:paraId="35F8A13C"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Al-Somali, S. A., </w:t>
      </w:r>
      <w:proofErr w:type="spellStart"/>
      <w:r w:rsidRPr="00C60F80">
        <w:rPr>
          <w:rFonts w:asciiTheme="majorHAnsi" w:hAnsiTheme="majorHAnsi"/>
          <w:sz w:val="20"/>
          <w:szCs w:val="20"/>
        </w:rPr>
        <w:t>Gholami</w:t>
      </w:r>
      <w:proofErr w:type="spellEnd"/>
      <w:r w:rsidRPr="00C60F80">
        <w:rPr>
          <w:rFonts w:asciiTheme="majorHAnsi" w:hAnsiTheme="majorHAnsi"/>
          <w:sz w:val="20"/>
          <w:szCs w:val="20"/>
        </w:rPr>
        <w:t>, R., &amp; Clegg, B. (2024). Cybersecurity adoption in SMEs: Technology-organization-environment framework. Information Systems Frontiers, 26(3), 1124–1141.</w:t>
      </w:r>
    </w:p>
    <w:p w14:paraId="1E4E3F82"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Andrade, C. (2020). The limitations of online surveys. Indian Journal of Psychological Medicine, 42(6), 575–576.</w:t>
      </w:r>
    </w:p>
    <w:p w14:paraId="3AE7275B"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Ardic</w:t>
      </w:r>
      <w:proofErr w:type="spellEnd"/>
      <w:r w:rsidRPr="00C60F80">
        <w:rPr>
          <w:rFonts w:asciiTheme="majorHAnsi" w:hAnsiTheme="majorHAnsi"/>
          <w:sz w:val="20"/>
          <w:szCs w:val="20"/>
        </w:rPr>
        <w:t xml:space="preserve">, O. P., </w:t>
      </w:r>
      <w:proofErr w:type="spellStart"/>
      <w:r w:rsidRPr="00C60F80">
        <w:rPr>
          <w:rFonts w:asciiTheme="majorHAnsi" w:hAnsiTheme="majorHAnsi"/>
          <w:sz w:val="20"/>
          <w:szCs w:val="20"/>
        </w:rPr>
        <w:t>Mylenko</w:t>
      </w:r>
      <w:proofErr w:type="spellEnd"/>
      <w:r w:rsidRPr="00C60F80">
        <w:rPr>
          <w:rFonts w:asciiTheme="majorHAnsi" w:hAnsiTheme="majorHAnsi"/>
          <w:sz w:val="20"/>
          <w:szCs w:val="20"/>
        </w:rPr>
        <w:t xml:space="preserve">, N., &amp; </w:t>
      </w:r>
      <w:proofErr w:type="spellStart"/>
      <w:r w:rsidRPr="00C60F80">
        <w:rPr>
          <w:rFonts w:asciiTheme="majorHAnsi" w:hAnsiTheme="majorHAnsi"/>
          <w:sz w:val="20"/>
          <w:szCs w:val="20"/>
        </w:rPr>
        <w:t>Saltane</w:t>
      </w:r>
      <w:proofErr w:type="spellEnd"/>
      <w:r w:rsidRPr="00C60F80">
        <w:rPr>
          <w:rFonts w:asciiTheme="majorHAnsi" w:hAnsiTheme="majorHAnsi"/>
          <w:sz w:val="20"/>
          <w:szCs w:val="20"/>
        </w:rPr>
        <w:t>, V. (2011). Small and medium enterprises: A cross-country analysis with a new data set. World Bank Policy Research Working Paper.</w:t>
      </w:r>
    </w:p>
    <w:p w14:paraId="50DDB2B0"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Arroyabe</w:t>
      </w:r>
      <w:proofErr w:type="spellEnd"/>
      <w:r w:rsidRPr="00C60F80">
        <w:rPr>
          <w:rFonts w:asciiTheme="majorHAnsi" w:hAnsiTheme="majorHAnsi"/>
          <w:sz w:val="20"/>
          <w:szCs w:val="20"/>
        </w:rPr>
        <w:t xml:space="preserve">, M. F., </w:t>
      </w:r>
      <w:proofErr w:type="spellStart"/>
      <w:r w:rsidRPr="00C60F80">
        <w:rPr>
          <w:rFonts w:asciiTheme="majorHAnsi" w:hAnsiTheme="majorHAnsi"/>
          <w:sz w:val="20"/>
          <w:szCs w:val="20"/>
        </w:rPr>
        <w:t>Arranz</w:t>
      </w:r>
      <w:proofErr w:type="spellEnd"/>
      <w:r w:rsidRPr="00C60F80">
        <w:rPr>
          <w:rFonts w:asciiTheme="majorHAnsi" w:hAnsiTheme="majorHAnsi"/>
          <w:sz w:val="20"/>
          <w:szCs w:val="20"/>
        </w:rPr>
        <w:t xml:space="preserve">, C. F. A., </w:t>
      </w:r>
      <w:proofErr w:type="spellStart"/>
      <w:r w:rsidRPr="00C60F80">
        <w:rPr>
          <w:rFonts w:asciiTheme="majorHAnsi" w:hAnsiTheme="majorHAnsi"/>
          <w:sz w:val="20"/>
          <w:szCs w:val="20"/>
        </w:rPr>
        <w:t>Arroyabe</w:t>
      </w:r>
      <w:proofErr w:type="spellEnd"/>
      <w:r w:rsidRPr="00C60F80">
        <w:rPr>
          <w:rFonts w:asciiTheme="majorHAnsi" w:hAnsiTheme="majorHAnsi"/>
          <w:sz w:val="20"/>
          <w:szCs w:val="20"/>
        </w:rPr>
        <w:t xml:space="preserve">, J. C. F., &amp; </w:t>
      </w:r>
      <w:proofErr w:type="spellStart"/>
      <w:r w:rsidRPr="00C60F80">
        <w:rPr>
          <w:rFonts w:asciiTheme="majorHAnsi" w:hAnsiTheme="majorHAnsi"/>
          <w:sz w:val="20"/>
          <w:szCs w:val="20"/>
        </w:rPr>
        <w:t>Arroyabe</w:t>
      </w:r>
      <w:proofErr w:type="spellEnd"/>
      <w:r w:rsidRPr="00C60F80">
        <w:rPr>
          <w:rFonts w:asciiTheme="majorHAnsi" w:hAnsiTheme="majorHAnsi"/>
          <w:sz w:val="20"/>
          <w:szCs w:val="20"/>
        </w:rPr>
        <w:t>, I. F. (2024). Artificial intelligence adoption in the European Union: An empirical analysis of 12,108 SMEs. Technological Forecasting and Social Change, 198, 122953.</w:t>
      </w:r>
    </w:p>
    <w:p w14:paraId="641CE19A"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Baabdullah</w:t>
      </w:r>
      <w:proofErr w:type="spellEnd"/>
      <w:r w:rsidRPr="00C60F80">
        <w:rPr>
          <w:rFonts w:asciiTheme="majorHAnsi" w:hAnsiTheme="majorHAnsi"/>
          <w:sz w:val="20"/>
          <w:szCs w:val="20"/>
        </w:rPr>
        <w:t xml:space="preserve">, A. M., </w:t>
      </w:r>
      <w:proofErr w:type="spellStart"/>
      <w:r w:rsidRPr="00C60F80">
        <w:rPr>
          <w:rFonts w:asciiTheme="majorHAnsi" w:hAnsiTheme="majorHAnsi"/>
          <w:sz w:val="20"/>
          <w:szCs w:val="20"/>
        </w:rPr>
        <w:t>Alalwan</w:t>
      </w:r>
      <w:proofErr w:type="spellEnd"/>
      <w:r w:rsidRPr="00C60F80">
        <w:rPr>
          <w:rFonts w:asciiTheme="majorHAnsi" w:hAnsiTheme="majorHAnsi"/>
          <w:sz w:val="20"/>
          <w:szCs w:val="20"/>
        </w:rPr>
        <w:t xml:space="preserve">, A. A., Slade, E. L., Raman, R., &amp; </w:t>
      </w:r>
      <w:proofErr w:type="spellStart"/>
      <w:r w:rsidRPr="00C60F80">
        <w:rPr>
          <w:rFonts w:asciiTheme="majorHAnsi" w:hAnsiTheme="majorHAnsi"/>
          <w:sz w:val="20"/>
          <w:szCs w:val="20"/>
        </w:rPr>
        <w:t>Khatatneh</w:t>
      </w:r>
      <w:proofErr w:type="spellEnd"/>
      <w:r w:rsidRPr="00C60F80">
        <w:rPr>
          <w:rFonts w:asciiTheme="majorHAnsi" w:hAnsiTheme="majorHAnsi"/>
          <w:sz w:val="20"/>
          <w:szCs w:val="20"/>
        </w:rPr>
        <w:t>, K. F. (2021). SMEs and artificial intelligence (AI): Antecedents and consequences of AI-based B2B practices. Industrial Marketing Management, 98, 255–270.</w:t>
      </w:r>
    </w:p>
    <w:p w14:paraId="4307BEB7"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
    <w:p w14:paraId="1B2C504B"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Blomster</w:t>
      </w:r>
      <w:proofErr w:type="spellEnd"/>
      <w:r w:rsidRPr="00C60F80">
        <w:rPr>
          <w:rFonts w:asciiTheme="majorHAnsi" w:hAnsiTheme="majorHAnsi"/>
          <w:sz w:val="20"/>
          <w:szCs w:val="20"/>
        </w:rPr>
        <w:t xml:space="preserve">, T., &amp; </w:t>
      </w:r>
      <w:proofErr w:type="spellStart"/>
      <w:r w:rsidRPr="00C60F80">
        <w:rPr>
          <w:rFonts w:asciiTheme="majorHAnsi" w:hAnsiTheme="majorHAnsi"/>
          <w:sz w:val="20"/>
          <w:szCs w:val="20"/>
        </w:rPr>
        <w:t>Koivumäki</w:t>
      </w:r>
      <w:proofErr w:type="spellEnd"/>
      <w:r w:rsidRPr="00C60F80">
        <w:rPr>
          <w:rFonts w:asciiTheme="majorHAnsi" w:hAnsiTheme="majorHAnsi"/>
          <w:sz w:val="20"/>
          <w:szCs w:val="20"/>
        </w:rPr>
        <w:t>, T. (2022). Exploring the resources, competencies, and capabilities needed for successful machine learning projects in digital marketing. Information Systems and e-Business Management, 20(1), 123–169.</w:t>
      </w:r>
    </w:p>
    <w:p w14:paraId="0E11109C"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Brătucu</w:t>
      </w:r>
      <w:proofErr w:type="spellEnd"/>
      <w:r w:rsidRPr="00C60F80">
        <w:rPr>
          <w:rFonts w:asciiTheme="majorHAnsi" w:hAnsiTheme="majorHAnsi"/>
          <w:sz w:val="20"/>
          <w:szCs w:val="20"/>
        </w:rPr>
        <w:t xml:space="preserve">, G., </w:t>
      </w:r>
      <w:proofErr w:type="spellStart"/>
      <w:r w:rsidRPr="00C60F80">
        <w:rPr>
          <w:rFonts w:asciiTheme="majorHAnsi" w:hAnsiTheme="majorHAnsi"/>
          <w:sz w:val="20"/>
          <w:szCs w:val="20"/>
        </w:rPr>
        <w:t>Ciobanu</w:t>
      </w:r>
      <w:proofErr w:type="spellEnd"/>
      <w:r w:rsidRPr="00C60F80">
        <w:rPr>
          <w:rFonts w:asciiTheme="majorHAnsi" w:hAnsiTheme="majorHAnsi"/>
          <w:sz w:val="20"/>
          <w:szCs w:val="20"/>
        </w:rPr>
        <w:t xml:space="preserve">, E., </w:t>
      </w:r>
      <w:proofErr w:type="spellStart"/>
      <w:r w:rsidRPr="00C60F80">
        <w:rPr>
          <w:rFonts w:asciiTheme="majorHAnsi" w:hAnsiTheme="majorHAnsi"/>
          <w:sz w:val="20"/>
          <w:szCs w:val="20"/>
        </w:rPr>
        <w:t>Chițu</w:t>
      </w:r>
      <w:proofErr w:type="spellEnd"/>
      <w:r w:rsidRPr="00C60F80">
        <w:rPr>
          <w:rFonts w:asciiTheme="majorHAnsi" w:hAnsiTheme="majorHAnsi"/>
          <w:sz w:val="20"/>
          <w:szCs w:val="20"/>
        </w:rPr>
        <w:t xml:space="preserve">, I. B., </w:t>
      </w:r>
      <w:proofErr w:type="spellStart"/>
      <w:r w:rsidRPr="00C60F80">
        <w:rPr>
          <w:rFonts w:asciiTheme="majorHAnsi" w:hAnsiTheme="majorHAnsi"/>
          <w:sz w:val="20"/>
          <w:szCs w:val="20"/>
        </w:rPr>
        <w:t>Litră</w:t>
      </w:r>
      <w:proofErr w:type="spellEnd"/>
      <w:r w:rsidRPr="00C60F80">
        <w:rPr>
          <w:rFonts w:asciiTheme="majorHAnsi" w:hAnsiTheme="majorHAnsi"/>
          <w:sz w:val="20"/>
          <w:szCs w:val="20"/>
        </w:rPr>
        <w:t xml:space="preserve">, A. V., </w:t>
      </w:r>
      <w:proofErr w:type="spellStart"/>
      <w:r w:rsidRPr="00C60F80">
        <w:rPr>
          <w:rFonts w:asciiTheme="majorHAnsi" w:hAnsiTheme="majorHAnsi"/>
          <w:sz w:val="20"/>
          <w:szCs w:val="20"/>
        </w:rPr>
        <w:t>Zamfirache</w:t>
      </w:r>
      <w:proofErr w:type="spellEnd"/>
      <w:r w:rsidRPr="00C60F80">
        <w:rPr>
          <w:rFonts w:asciiTheme="majorHAnsi" w:hAnsiTheme="majorHAnsi"/>
          <w:sz w:val="20"/>
          <w:szCs w:val="20"/>
        </w:rPr>
        <w:t xml:space="preserve">, A., &amp; </w:t>
      </w:r>
      <w:proofErr w:type="spellStart"/>
      <w:r w:rsidRPr="00C60F80">
        <w:rPr>
          <w:rFonts w:asciiTheme="majorHAnsi" w:hAnsiTheme="majorHAnsi"/>
          <w:sz w:val="20"/>
          <w:szCs w:val="20"/>
        </w:rPr>
        <w:t>Bălășescu</w:t>
      </w:r>
      <w:proofErr w:type="spellEnd"/>
      <w:r w:rsidRPr="00C60F80">
        <w:rPr>
          <w:rFonts w:asciiTheme="majorHAnsi" w:hAnsiTheme="majorHAnsi"/>
          <w:sz w:val="20"/>
          <w:szCs w:val="20"/>
        </w:rPr>
        <w:t>, M. (2024). The use of technology assisted by artificial intelligence depending on the companies’ digital maturity level. Electronics, 13(9), 1687.</w:t>
      </w:r>
    </w:p>
    <w:p w14:paraId="3FB6EF76"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Chatterjee, S., Ghosh, S. K., Chaudhuri, R., &amp; Chaudhuri, S. (2021a). Adoption of AI-integrated CRM system by Indian industry: from security and privacy perspective. Information &amp; Computer Security, 29(1), 1–24.</w:t>
      </w:r>
    </w:p>
    <w:p w14:paraId="680D63F2"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lastRenderedPageBreak/>
        <w:t xml:space="preserve">Chatterjee, S., Chaudhuri, R., </w:t>
      </w:r>
      <w:proofErr w:type="spellStart"/>
      <w:r w:rsidRPr="00C60F80">
        <w:rPr>
          <w:rFonts w:asciiTheme="majorHAnsi" w:hAnsiTheme="majorHAnsi"/>
          <w:sz w:val="20"/>
          <w:szCs w:val="20"/>
        </w:rPr>
        <w:t>Vrontis</w:t>
      </w:r>
      <w:proofErr w:type="spellEnd"/>
      <w:r w:rsidRPr="00C60F80">
        <w:rPr>
          <w:rFonts w:asciiTheme="majorHAnsi" w:hAnsiTheme="majorHAnsi"/>
          <w:sz w:val="20"/>
          <w:szCs w:val="20"/>
        </w:rPr>
        <w:t xml:space="preserve">, D., &amp; </w:t>
      </w:r>
      <w:proofErr w:type="spellStart"/>
      <w:r w:rsidRPr="00C60F80">
        <w:rPr>
          <w:rFonts w:asciiTheme="majorHAnsi" w:hAnsiTheme="majorHAnsi"/>
          <w:sz w:val="20"/>
          <w:szCs w:val="20"/>
        </w:rPr>
        <w:t>Basile</w:t>
      </w:r>
      <w:proofErr w:type="spellEnd"/>
      <w:r w:rsidRPr="00C60F80">
        <w:rPr>
          <w:rFonts w:asciiTheme="majorHAnsi" w:hAnsiTheme="majorHAnsi"/>
          <w:sz w:val="20"/>
          <w:szCs w:val="20"/>
        </w:rPr>
        <w:t>, G. (2022). Digital transformation and entrepreneurship process in SMEs of India: a moderating role of adoption of AI-CRM capability and strategic planning. Journal of Strategy and Management, 15(3), 416–433.</w:t>
      </w:r>
    </w:p>
    <w:p w14:paraId="64C03233"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Chatterjee, S., Rana, N. P., </w:t>
      </w:r>
      <w:proofErr w:type="spellStart"/>
      <w:r w:rsidRPr="00C60F80">
        <w:rPr>
          <w:rFonts w:asciiTheme="majorHAnsi" w:hAnsiTheme="majorHAnsi"/>
          <w:sz w:val="20"/>
          <w:szCs w:val="20"/>
        </w:rPr>
        <w:t>Dwivedi</w:t>
      </w:r>
      <w:proofErr w:type="spellEnd"/>
      <w:r w:rsidRPr="00C60F80">
        <w:rPr>
          <w:rFonts w:asciiTheme="majorHAnsi" w:hAnsiTheme="majorHAnsi"/>
          <w:sz w:val="20"/>
          <w:szCs w:val="20"/>
        </w:rPr>
        <w:t xml:space="preserve">, Y. K., &amp; </w:t>
      </w:r>
      <w:proofErr w:type="spellStart"/>
      <w:r w:rsidRPr="00C60F80">
        <w:rPr>
          <w:rFonts w:asciiTheme="majorHAnsi" w:hAnsiTheme="majorHAnsi"/>
          <w:sz w:val="20"/>
          <w:szCs w:val="20"/>
        </w:rPr>
        <w:t>Baabdullah</w:t>
      </w:r>
      <w:proofErr w:type="spellEnd"/>
      <w:r w:rsidRPr="00C60F80">
        <w:rPr>
          <w:rFonts w:asciiTheme="majorHAnsi" w:hAnsiTheme="majorHAnsi"/>
          <w:sz w:val="20"/>
          <w:szCs w:val="20"/>
        </w:rPr>
        <w:t>, A. M. (2021c). Understanding AI adoption in manufacturing and production firms using an integrated TAM-TOE model. Technological Forecasting and Social Change, 170, 120880.</w:t>
      </w:r>
    </w:p>
    <w:p w14:paraId="3C52AEF6"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Chen, C.-T., Chen, S.-C., Khan, A., Lim, M. K., &amp; Tseng, M.-L. (2024). Antecedents of big data analytics and artificial intelligence adoption on operational performance: the </w:t>
      </w:r>
      <w:proofErr w:type="spellStart"/>
      <w:r w:rsidRPr="00C60F80">
        <w:rPr>
          <w:rFonts w:asciiTheme="majorHAnsi" w:hAnsiTheme="majorHAnsi"/>
          <w:sz w:val="20"/>
          <w:szCs w:val="20"/>
        </w:rPr>
        <w:t>ChatGPT</w:t>
      </w:r>
      <w:proofErr w:type="spellEnd"/>
      <w:r w:rsidRPr="00C60F80">
        <w:rPr>
          <w:rFonts w:asciiTheme="majorHAnsi" w:hAnsiTheme="majorHAnsi"/>
          <w:sz w:val="20"/>
          <w:szCs w:val="20"/>
        </w:rPr>
        <w:t xml:space="preserve"> platform. Industrial </w:t>
      </w:r>
      <w:proofErr w:type="spellStart"/>
      <w:r w:rsidRPr="00C60F80">
        <w:rPr>
          <w:rFonts w:asciiTheme="majorHAnsi" w:hAnsiTheme="majorHAnsi"/>
          <w:sz w:val="20"/>
          <w:szCs w:val="20"/>
        </w:rPr>
        <w:t>Manageent</w:t>
      </w:r>
      <w:proofErr w:type="spellEnd"/>
      <w:r w:rsidRPr="00C60F80">
        <w:rPr>
          <w:rFonts w:asciiTheme="majorHAnsi" w:hAnsiTheme="majorHAnsi"/>
          <w:sz w:val="20"/>
          <w:szCs w:val="20"/>
        </w:rPr>
        <w:t xml:space="preserve"> &amp; Data Systems, 124(7), 2388–2413.</w:t>
      </w:r>
    </w:p>
    <w:p w14:paraId="4B0EE470"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Chen, H., Li, L., &amp; Chen, Y. (2021). Explore success factors that impact artificial intelligence adoption on telecom industry in China. Journal of Management Analytics, 8(1), 36–68.</w:t>
      </w:r>
    </w:p>
    <w:p w14:paraId="155E8B0F"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Costa, R. L. D., Cruz, M., </w:t>
      </w:r>
      <w:proofErr w:type="spellStart"/>
      <w:r w:rsidRPr="00C60F80">
        <w:rPr>
          <w:rFonts w:asciiTheme="majorHAnsi" w:hAnsiTheme="majorHAnsi"/>
          <w:sz w:val="20"/>
          <w:szCs w:val="20"/>
        </w:rPr>
        <w:t>Gonçalves</w:t>
      </w:r>
      <w:proofErr w:type="spellEnd"/>
      <w:r w:rsidRPr="00C60F80">
        <w:rPr>
          <w:rFonts w:asciiTheme="majorHAnsi" w:hAnsiTheme="majorHAnsi"/>
          <w:sz w:val="20"/>
          <w:szCs w:val="20"/>
        </w:rPr>
        <w:t xml:space="preserve">, R., Dias, </w:t>
      </w:r>
      <w:proofErr w:type="gramStart"/>
      <w:r w:rsidRPr="00C60F80">
        <w:rPr>
          <w:rFonts w:asciiTheme="majorHAnsi" w:hAnsiTheme="majorHAnsi"/>
          <w:sz w:val="20"/>
          <w:szCs w:val="20"/>
        </w:rPr>
        <w:t>Á.,</w:t>
      </w:r>
      <w:proofErr w:type="gramEnd"/>
      <w:r w:rsidRPr="00C60F80">
        <w:rPr>
          <w:rFonts w:asciiTheme="majorHAnsi" w:hAnsiTheme="majorHAnsi"/>
          <w:sz w:val="20"/>
          <w:szCs w:val="20"/>
        </w:rPr>
        <w:t xml:space="preserve"> Silva, R. V. D., &amp; Pereira, L. (2022). Artificial intelligence and its adoption in financial services. International Journal of Services Operations and Informatics, 12(1), 70–86.</w:t>
      </w:r>
    </w:p>
    <w:p w14:paraId="67098747"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Crockett, K., </w:t>
      </w:r>
      <w:proofErr w:type="spellStart"/>
      <w:r w:rsidRPr="00C60F80">
        <w:rPr>
          <w:rFonts w:asciiTheme="majorHAnsi" w:hAnsiTheme="majorHAnsi"/>
          <w:sz w:val="20"/>
          <w:szCs w:val="20"/>
        </w:rPr>
        <w:t>Colyer</w:t>
      </w:r>
      <w:proofErr w:type="spellEnd"/>
      <w:r w:rsidRPr="00C60F80">
        <w:rPr>
          <w:rFonts w:asciiTheme="majorHAnsi" w:hAnsiTheme="majorHAnsi"/>
          <w:sz w:val="20"/>
          <w:szCs w:val="20"/>
        </w:rPr>
        <w:t>, E., Gerber, L., &amp; Latham, A. (2021). Building trustworthy AI solutions: A case for practical solutions for small businesses. IEEE Transactions on Artificial Intelligence, 4(4), 778–791.</w:t>
      </w:r>
    </w:p>
    <w:p w14:paraId="73979DE9"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Czarnitzki</w:t>
      </w:r>
      <w:proofErr w:type="spellEnd"/>
      <w:r w:rsidRPr="00C60F80">
        <w:rPr>
          <w:rFonts w:asciiTheme="majorHAnsi" w:hAnsiTheme="majorHAnsi"/>
          <w:sz w:val="20"/>
          <w:szCs w:val="20"/>
        </w:rPr>
        <w:t xml:space="preserve">, D., </w:t>
      </w:r>
      <w:proofErr w:type="spellStart"/>
      <w:r w:rsidRPr="00C60F80">
        <w:rPr>
          <w:rFonts w:asciiTheme="majorHAnsi" w:hAnsiTheme="majorHAnsi"/>
          <w:sz w:val="20"/>
          <w:szCs w:val="20"/>
        </w:rPr>
        <w:t>Fernández</w:t>
      </w:r>
      <w:proofErr w:type="spellEnd"/>
      <w:r w:rsidRPr="00C60F80">
        <w:rPr>
          <w:rFonts w:asciiTheme="majorHAnsi" w:hAnsiTheme="majorHAnsi"/>
          <w:sz w:val="20"/>
          <w:szCs w:val="20"/>
        </w:rPr>
        <w:t>, G. P., &amp; Rammer, C. (2023). Artificial intelligence and firm-level productivity. Journal of Economic Behavior &amp; Organization, 211, 188–205.</w:t>
      </w:r>
    </w:p>
    <w:p w14:paraId="1A91DBCC"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Damioli</w:t>
      </w:r>
      <w:proofErr w:type="spellEnd"/>
      <w:r w:rsidRPr="00C60F80">
        <w:rPr>
          <w:rFonts w:asciiTheme="majorHAnsi" w:hAnsiTheme="majorHAnsi"/>
          <w:sz w:val="20"/>
          <w:szCs w:val="20"/>
        </w:rPr>
        <w:t xml:space="preserve">, G., Van Roy, V., &amp; </w:t>
      </w:r>
      <w:proofErr w:type="spellStart"/>
      <w:r w:rsidRPr="00C60F80">
        <w:rPr>
          <w:rFonts w:asciiTheme="majorHAnsi" w:hAnsiTheme="majorHAnsi"/>
          <w:sz w:val="20"/>
          <w:szCs w:val="20"/>
        </w:rPr>
        <w:t>Vertesy</w:t>
      </w:r>
      <w:proofErr w:type="spellEnd"/>
      <w:r w:rsidRPr="00C60F80">
        <w:rPr>
          <w:rFonts w:asciiTheme="majorHAnsi" w:hAnsiTheme="majorHAnsi"/>
          <w:sz w:val="20"/>
          <w:szCs w:val="20"/>
        </w:rPr>
        <w:t>, D. (2021). The impact of artificial intelligence on labor productivity. Eurasian Business Review, 11, 1–25.</w:t>
      </w:r>
    </w:p>
    <w:p w14:paraId="68A9E72A"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Das, S. D., &amp; </w:t>
      </w:r>
      <w:proofErr w:type="spellStart"/>
      <w:r w:rsidRPr="00C60F80">
        <w:rPr>
          <w:rFonts w:asciiTheme="majorHAnsi" w:hAnsiTheme="majorHAnsi"/>
          <w:sz w:val="20"/>
          <w:szCs w:val="20"/>
        </w:rPr>
        <w:t>Bala</w:t>
      </w:r>
      <w:proofErr w:type="spellEnd"/>
      <w:r w:rsidRPr="00C60F80">
        <w:rPr>
          <w:rFonts w:asciiTheme="majorHAnsi" w:hAnsiTheme="majorHAnsi"/>
          <w:sz w:val="20"/>
          <w:szCs w:val="20"/>
        </w:rPr>
        <w:t xml:space="preserve">, P. K. (2024). What drives </w:t>
      </w:r>
      <w:proofErr w:type="spellStart"/>
      <w:r w:rsidRPr="00C60F80">
        <w:rPr>
          <w:rFonts w:asciiTheme="majorHAnsi" w:hAnsiTheme="majorHAnsi"/>
          <w:sz w:val="20"/>
          <w:szCs w:val="20"/>
        </w:rPr>
        <w:t>MLOps</w:t>
      </w:r>
      <w:proofErr w:type="spellEnd"/>
      <w:r w:rsidRPr="00C60F80">
        <w:rPr>
          <w:rFonts w:asciiTheme="majorHAnsi" w:hAnsiTheme="majorHAnsi"/>
          <w:sz w:val="20"/>
          <w:szCs w:val="20"/>
        </w:rPr>
        <w:t xml:space="preserve"> adoption? An analysis using the TOE framework. Journal of Decision Systems, 33(3), 376–412.</w:t>
      </w:r>
    </w:p>
    <w:p w14:paraId="59163017"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Davis, F. D., </w:t>
      </w:r>
      <w:proofErr w:type="spellStart"/>
      <w:r w:rsidRPr="00C60F80">
        <w:rPr>
          <w:rFonts w:asciiTheme="majorHAnsi" w:hAnsiTheme="majorHAnsi"/>
          <w:sz w:val="20"/>
          <w:szCs w:val="20"/>
        </w:rPr>
        <w:t>Bagozzi</w:t>
      </w:r>
      <w:proofErr w:type="spellEnd"/>
      <w:r w:rsidRPr="00C60F80">
        <w:rPr>
          <w:rFonts w:asciiTheme="majorHAnsi" w:hAnsiTheme="majorHAnsi"/>
          <w:sz w:val="20"/>
          <w:szCs w:val="20"/>
        </w:rPr>
        <w:t xml:space="preserve">, R., &amp; </w:t>
      </w:r>
      <w:proofErr w:type="spellStart"/>
      <w:r w:rsidRPr="00C60F80">
        <w:rPr>
          <w:rFonts w:asciiTheme="majorHAnsi" w:hAnsiTheme="majorHAnsi"/>
          <w:sz w:val="20"/>
          <w:szCs w:val="20"/>
        </w:rPr>
        <w:t>Warshaw</w:t>
      </w:r>
      <w:proofErr w:type="spellEnd"/>
      <w:r w:rsidRPr="00C60F80">
        <w:rPr>
          <w:rFonts w:asciiTheme="majorHAnsi" w:hAnsiTheme="majorHAnsi"/>
          <w:sz w:val="20"/>
          <w:szCs w:val="20"/>
        </w:rPr>
        <w:t>, P. (1989). Technology acceptance model. Journal of Management Science, 35(8), 982–1003.</w:t>
      </w:r>
    </w:p>
    <w:p w14:paraId="433FC988"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Dora, M., Kumar, A., </w:t>
      </w:r>
      <w:proofErr w:type="spellStart"/>
      <w:r w:rsidRPr="00C60F80">
        <w:rPr>
          <w:rFonts w:asciiTheme="majorHAnsi" w:hAnsiTheme="majorHAnsi"/>
          <w:sz w:val="20"/>
          <w:szCs w:val="20"/>
        </w:rPr>
        <w:t>Mangla</w:t>
      </w:r>
      <w:proofErr w:type="spellEnd"/>
      <w:r w:rsidRPr="00C60F80">
        <w:rPr>
          <w:rFonts w:asciiTheme="majorHAnsi" w:hAnsiTheme="majorHAnsi"/>
          <w:sz w:val="20"/>
          <w:szCs w:val="20"/>
        </w:rPr>
        <w:t>, S. K., Pant, A., &amp; Kamal, M. M. (2022). Critical success factors influencing artificial intelligence adoption in food supply chains. International Journal of Production Research, 60(14), 4621–4640.</w:t>
      </w:r>
    </w:p>
    <w:p w14:paraId="012344D2"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Dvoráková</w:t>
      </w:r>
      <w:proofErr w:type="spellEnd"/>
      <w:r w:rsidRPr="00C60F80">
        <w:rPr>
          <w:rFonts w:asciiTheme="majorHAnsi" w:hAnsiTheme="majorHAnsi"/>
          <w:sz w:val="20"/>
          <w:szCs w:val="20"/>
        </w:rPr>
        <w:t xml:space="preserve">, L., </w:t>
      </w:r>
      <w:proofErr w:type="spellStart"/>
      <w:r w:rsidRPr="00C60F80">
        <w:rPr>
          <w:rFonts w:asciiTheme="majorHAnsi" w:hAnsiTheme="majorHAnsi"/>
          <w:sz w:val="20"/>
          <w:szCs w:val="20"/>
        </w:rPr>
        <w:t>Horák</w:t>
      </w:r>
      <w:proofErr w:type="spellEnd"/>
      <w:r w:rsidRPr="00C60F80">
        <w:rPr>
          <w:rFonts w:asciiTheme="majorHAnsi" w:hAnsiTheme="majorHAnsi"/>
          <w:sz w:val="20"/>
          <w:szCs w:val="20"/>
        </w:rPr>
        <w:t xml:space="preserve">, J., </w:t>
      </w:r>
      <w:proofErr w:type="spellStart"/>
      <w:r w:rsidRPr="00C60F80">
        <w:rPr>
          <w:rFonts w:asciiTheme="majorHAnsi" w:hAnsiTheme="majorHAnsi"/>
          <w:sz w:val="20"/>
          <w:szCs w:val="20"/>
        </w:rPr>
        <w:t>Caha</w:t>
      </w:r>
      <w:proofErr w:type="spellEnd"/>
      <w:r w:rsidRPr="00C60F80">
        <w:rPr>
          <w:rFonts w:asciiTheme="majorHAnsi" w:hAnsiTheme="majorHAnsi"/>
          <w:sz w:val="20"/>
          <w:szCs w:val="20"/>
        </w:rPr>
        <w:t xml:space="preserve">, Z., </w:t>
      </w:r>
      <w:proofErr w:type="spellStart"/>
      <w:r w:rsidRPr="00C60F80">
        <w:rPr>
          <w:rFonts w:asciiTheme="majorHAnsi" w:hAnsiTheme="majorHAnsi"/>
          <w:sz w:val="20"/>
          <w:szCs w:val="20"/>
        </w:rPr>
        <w:t>Machová</w:t>
      </w:r>
      <w:proofErr w:type="spellEnd"/>
      <w:r w:rsidRPr="00C60F80">
        <w:rPr>
          <w:rFonts w:asciiTheme="majorHAnsi" w:hAnsiTheme="majorHAnsi"/>
          <w:sz w:val="20"/>
          <w:szCs w:val="20"/>
        </w:rPr>
        <w:t xml:space="preserve">, V., </w:t>
      </w:r>
      <w:proofErr w:type="spellStart"/>
      <w:r w:rsidRPr="00C60F80">
        <w:rPr>
          <w:rFonts w:asciiTheme="majorHAnsi" w:hAnsiTheme="majorHAnsi"/>
          <w:sz w:val="20"/>
          <w:szCs w:val="20"/>
        </w:rPr>
        <w:t>Hašková</w:t>
      </w:r>
      <w:proofErr w:type="spellEnd"/>
      <w:r w:rsidRPr="00C60F80">
        <w:rPr>
          <w:rFonts w:asciiTheme="majorHAnsi" w:hAnsiTheme="majorHAnsi"/>
          <w:sz w:val="20"/>
          <w:szCs w:val="20"/>
        </w:rPr>
        <w:t xml:space="preserve">, S., Rowland, Z., &amp; </w:t>
      </w:r>
      <w:proofErr w:type="spellStart"/>
      <w:r w:rsidRPr="00C60F80">
        <w:rPr>
          <w:rFonts w:asciiTheme="majorHAnsi" w:hAnsiTheme="majorHAnsi"/>
          <w:sz w:val="20"/>
          <w:szCs w:val="20"/>
        </w:rPr>
        <w:t>Krulicky</w:t>
      </w:r>
      <w:proofErr w:type="spellEnd"/>
      <w:r w:rsidRPr="00C60F80">
        <w:rPr>
          <w:rFonts w:asciiTheme="majorHAnsi" w:hAnsiTheme="majorHAnsi"/>
          <w:sz w:val="20"/>
          <w:szCs w:val="20"/>
        </w:rPr>
        <w:t>, T. (2021). Adaptation of small and medium-sized enterprises in the service sector to the conditions of Industry 4.0 and Society 4.0: evidence from the Czech Republic. Economic Annals-XXI.</w:t>
      </w:r>
    </w:p>
    <w:p w14:paraId="4113DAAC"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 xml:space="preserve">Rana, N. P., Pillai, R., </w:t>
      </w:r>
      <w:proofErr w:type="spellStart"/>
      <w:r w:rsidRPr="00C60F80">
        <w:rPr>
          <w:rFonts w:asciiTheme="majorHAnsi" w:hAnsiTheme="majorHAnsi"/>
          <w:sz w:val="20"/>
          <w:szCs w:val="20"/>
        </w:rPr>
        <w:t>Sivathanu</w:t>
      </w:r>
      <w:proofErr w:type="spellEnd"/>
      <w:r w:rsidRPr="00C60F80">
        <w:rPr>
          <w:rFonts w:asciiTheme="majorHAnsi" w:hAnsiTheme="majorHAnsi"/>
          <w:sz w:val="20"/>
          <w:szCs w:val="20"/>
        </w:rPr>
        <w:t xml:space="preserve">, B., &amp; Malik, N. (2024). Assessing the nexus of generative AI adoption, ethical considerations, and organisational performance: A study of IT and </w:t>
      </w:r>
      <w:proofErr w:type="spellStart"/>
      <w:r w:rsidRPr="00C60F80">
        <w:rPr>
          <w:rFonts w:asciiTheme="majorHAnsi" w:hAnsiTheme="majorHAnsi"/>
          <w:sz w:val="20"/>
          <w:szCs w:val="20"/>
        </w:rPr>
        <w:t>ITeS</w:t>
      </w:r>
      <w:proofErr w:type="spellEnd"/>
      <w:r w:rsidRPr="00C60F80">
        <w:rPr>
          <w:rFonts w:asciiTheme="majorHAnsi" w:hAnsiTheme="majorHAnsi"/>
          <w:sz w:val="20"/>
          <w:szCs w:val="20"/>
        </w:rPr>
        <w:t xml:space="preserve"> firms. Technological Forecasting and Social Change.</w:t>
      </w:r>
    </w:p>
    <w:p w14:paraId="31B8BCAC"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Rutkauskas</w:t>
      </w:r>
      <w:proofErr w:type="spellEnd"/>
      <w:r w:rsidRPr="00C60F80">
        <w:rPr>
          <w:rFonts w:asciiTheme="majorHAnsi" w:hAnsiTheme="majorHAnsi"/>
          <w:sz w:val="20"/>
          <w:szCs w:val="20"/>
        </w:rPr>
        <w:t xml:space="preserve">, V., &amp; </w:t>
      </w:r>
      <w:proofErr w:type="spellStart"/>
      <w:r w:rsidRPr="00C60F80">
        <w:rPr>
          <w:rFonts w:asciiTheme="majorHAnsi" w:hAnsiTheme="majorHAnsi"/>
          <w:sz w:val="20"/>
          <w:szCs w:val="20"/>
        </w:rPr>
        <w:t>Stankevicius</w:t>
      </w:r>
      <w:proofErr w:type="spellEnd"/>
      <w:r w:rsidRPr="00C60F80">
        <w:rPr>
          <w:rFonts w:asciiTheme="majorHAnsi" w:hAnsiTheme="majorHAnsi"/>
          <w:sz w:val="20"/>
          <w:szCs w:val="20"/>
        </w:rPr>
        <w:t>, E. (2023). Lithuanian SMEs and AI readiness: A cross-sectoral analysis. Kaunas University of Technology Journal of Economics and Business, 29(2), 134–152.</w:t>
      </w:r>
    </w:p>
    <w:p w14:paraId="172ADCAB"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Santos, R., &amp; Pereira, A. (2023). Artificial intelligence in Portuguese SMEs: Opportunities in emerging tech ecosystems. International Journal of Innovation Science, 15(3), 210–228.</w:t>
      </w:r>
    </w:p>
    <w:p w14:paraId="626038DA"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Sarkar, S., &amp; Dutta, D. (2023). Artificial intelligence adoption in SMEs: Role of leadership and organizational culture. Journal of Small Business Management, 61(4), 765–789.</w:t>
      </w:r>
    </w:p>
    <w:p w14:paraId="2071EDE5"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r w:rsidRPr="00C60F80">
        <w:rPr>
          <w:rFonts w:asciiTheme="majorHAnsi" w:hAnsiTheme="majorHAnsi"/>
          <w:sz w:val="20"/>
          <w:szCs w:val="20"/>
        </w:rPr>
        <w:t>Salesforce. (2024). New research reveals SMBs with AI adoption see stronger revenue growth. Salesforce Business Intelligence Report.</w:t>
      </w:r>
    </w:p>
    <w:p w14:paraId="4DC036D8"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Soomro</w:t>
      </w:r>
      <w:proofErr w:type="spellEnd"/>
      <w:r w:rsidRPr="00C60F80">
        <w:rPr>
          <w:rFonts w:asciiTheme="majorHAnsi" w:hAnsiTheme="majorHAnsi"/>
          <w:sz w:val="20"/>
          <w:szCs w:val="20"/>
        </w:rPr>
        <w:t>, M. A., Shah, N., &amp; Ahmed, J. (2024). A systematic literature review of artificial intelligence adoption factors in small and medium enterprises. Journal of Small Business Management, 62(4), 1123–1148.</w:t>
      </w:r>
    </w:p>
    <w:p w14:paraId="6204CF56"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Tomaszewski</w:t>
      </w:r>
      <w:proofErr w:type="spellEnd"/>
      <w:r w:rsidRPr="00C60F80">
        <w:rPr>
          <w:rFonts w:asciiTheme="majorHAnsi" w:hAnsiTheme="majorHAnsi"/>
          <w:sz w:val="20"/>
          <w:szCs w:val="20"/>
        </w:rPr>
        <w:t xml:space="preserve">, K., &amp; </w:t>
      </w:r>
      <w:proofErr w:type="spellStart"/>
      <w:r w:rsidRPr="00C60F80">
        <w:rPr>
          <w:rFonts w:asciiTheme="majorHAnsi" w:hAnsiTheme="majorHAnsi"/>
          <w:sz w:val="20"/>
          <w:szCs w:val="20"/>
        </w:rPr>
        <w:t>Grabowska</w:t>
      </w:r>
      <w:proofErr w:type="spellEnd"/>
      <w:r w:rsidRPr="00C60F80">
        <w:rPr>
          <w:rFonts w:asciiTheme="majorHAnsi" w:hAnsiTheme="majorHAnsi"/>
          <w:sz w:val="20"/>
          <w:szCs w:val="20"/>
        </w:rPr>
        <w:t>, M. (2024). AI for operational efficiency in Polish SMEs: A regional comparison. Polish Economic Review, 18(1), 88–106.</w:t>
      </w:r>
    </w:p>
    <w:p w14:paraId="6D931265"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Valiyev</w:t>
      </w:r>
      <w:proofErr w:type="spellEnd"/>
      <w:r w:rsidRPr="00C60F80">
        <w:rPr>
          <w:rFonts w:asciiTheme="majorHAnsi" w:hAnsiTheme="majorHAnsi"/>
          <w:sz w:val="20"/>
          <w:szCs w:val="20"/>
        </w:rPr>
        <w:t xml:space="preserve">, A., </w:t>
      </w:r>
      <w:proofErr w:type="spellStart"/>
      <w:r w:rsidRPr="00C60F80">
        <w:rPr>
          <w:rFonts w:asciiTheme="majorHAnsi" w:hAnsiTheme="majorHAnsi"/>
          <w:sz w:val="20"/>
          <w:szCs w:val="20"/>
        </w:rPr>
        <w:t>Rustamov</w:t>
      </w:r>
      <w:proofErr w:type="spellEnd"/>
      <w:r w:rsidRPr="00C60F80">
        <w:rPr>
          <w:rFonts w:asciiTheme="majorHAnsi" w:hAnsiTheme="majorHAnsi"/>
          <w:sz w:val="20"/>
          <w:szCs w:val="20"/>
        </w:rPr>
        <w:t xml:space="preserve">, F. V., </w:t>
      </w:r>
      <w:proofErr w:type="spellStart"/>
      <w:r w:rsidRPr="00C60F80">
        <w:rPr>
          <w:rFonts w:asciiTheme="majorHAnsi" w:hAnsiTheme="majorHAnsi"/>
          <w:sz w:val="20"/>
          <w:szCs w:val="20"/>
        </w:rPr>
        <w:t>Huseynova</w:t>
      </w:r>
      <w:proofErr w:type="spellEnd"/>
      <w:r w:rsidRPr="00C60F80">
        <w:rPr>
          <w:rFonts w:asciiTheme="majorHAnsi" w:hAnsiTheme="majorHAnsi"/>
          <w:sz w:val="20"/>
          <w:szCs w:val="20"/>
        </w:rPr>
        <w:t xml:space="preserve">, R. A., </w:t>
      </w:r>
      <w:proofErr w:type="spellStart"/>
      <w:r w:rsidRPr="00C60F80">
        <w:rPr>
          <w:rFonts w:asciiTheme="majorHAnsi" w:hAnsiTheme="majorHAnsi"/>
          <w:sz w:val="20"/>
          <w:szCs w:val="20"/>
        </w:rPr>
        <w:t>Orujova</w:t>
      </w:r>
      <w:proofErr w:type="spellEnd"/>
      <w:r w:rsidRPr="00C60F80">
        <w:rPr>
          <w:rFonts w:asciiTheme="majorHAnsi" w:hAnsiTheme="majorHAnsi"/>
          <w:sz w:val="20"/>
          <w:szCs w:val="20"/>
        </w:rPr>
        <w:t xml:space="preserve">, M. S., &amp; </w:t>
      </w:r>
      <w:proofErr w:type="spellStart"/>
      <w:r w:rsidRPr="00C60F80">
        <w:rPr>
          <w:rFonts w:asciiTheme="majorHAnsi" w:hAnsiTheme="majorHAnsi"/>
          <w:sz w:val="20"/>
          <w:szCs w:val="20"/>
        </w:rPr>
        <w:t>Musayeva</w:t>
      </w:r>
      <w:proofErr w:type="spellEnd"/>
      <w:r w:rsidRPr="00C60F80">
        <w:rPr>
          <w:rFonts w:asciiTheme="majorHAnsi" w:hAnsiTheme="majorHAnsi"/>
          <w:sz w:val="20"/>
          <w:szCs w:val="20"/>
        </w:rPr>
        <w:t xml:space="preserve">, S. N. (2022). The digitalization effectiveness as an innovative factor in the development </w:t>
      </w:r>
      <w:r w:rsidRPr="00C60F80">
        <w:rPr>
          <w:rFonts w:asciiTheme="majorHAnsi" w:hAnsiTheme="majorHAnsi"/>
          <w:sz w:val="20"/>
          <w:szCs w:val="20"/>
        </w:rPr>
        <w:lastRenderedPageBreak/>
        <w:t>of agriculture in Azerbaijan. Journal of Eastern European and Central Asian Research, 9(2).</w:t>
      </w:r>
    </w:p>
    <w:p w14:paraId="3E35AC12" w14:textId="77777777" w:rsidR="00C60F80" w:rsidRPr="00C60F80" w:rsidRDefault="00C60F80" w:rsidP="00C60F80">
      <w:pPr>
        <w:pStyle w:val="BodyText"/>
        <w:numPr>
          <w:ilvl w:val="0"/>
          <w:numId w:val="28"/>
        </w:numPr>
        <w:spacing w:before="78" w:line="360" w:lineRule="auto"/>
        <w:ind w:right="144"/>
        <w:jc w:val="both"/>
        <w:rPr>
          <w:rFonts w:asciiTheme="majorHAnsi" w:hAnsiTheme="majorHAnsi"/>
          <w:sz w:val="20"/>
          <w:szCs w:val="20"/>
        </w:rPr>
      </w:pPr>
      <w:proofErr w:type="spellStart"/>
      <w:r w:rsidRPr="00C60F80">
        <w:rPr>
          <w:rFonts w:asciiTheme="majorHAnsi" w:hAnsiTheme="majorHAnsi"/>
          <w:sz w:val="20"/>
          <w:szCs w:val="20"/>
        </w:rPr>
        <w:t>Wilczyński</w:t>
      </w:r>
      <w:proofErr w:type="spellEnd"/>
      <w:r w:rsidRPr="00C60F80">
        <w:rPr>
          <w:rFonts w:asciiTheme="majorHAnsi" w:hAnsiTheme="majorHAnsi"/>
          <w:sz w:val="20"/>
          <w:szCs w:val="20"/>
        </w:rPr>
        <w:t xml:space="preserve">, M., &amp; </w:t>
      </w:r>
      <w:proofErr w:type="spellStart"/>
      <w:r w:rsidRPr="00C60F80">
        <w:rPr>
          <w:rFonts w:asciiTheme="majorHAnsi" w:hAnsiTheme="majorHAnsi"/>
          <w:sz w:val="20"/>
          <w:szCs w:val="20"/>
        </w:rPr>
        <w:t>Piotrowska</w:t>
      </w:r>
      <w:proofErr w:type="spellEnd"/>
      <w:r w:rsidRPr="00C60F80">
        <w:rPr>
          <w:rFonts w:asciiTheme="majorHAnsi" w:hAnsiTheme="majorHAnsi"/>
          <w:sz w:val="20"/>
          <w:szCs w:val="20"/>
        </w:rPr>
        <w:t>, M. (2023). Artificial intelligence and digital transformation strategies in Warsaw-based SMEs. Warsaw School of Economics Review, 15(2), 77–96.</w:t>
      </w:r>
    </w:p>
    <w:p w14:paraId="399E73F4" w14:textId="2C17004A" w:rsidR="00727DFC" w:rsidRDefault="00C60F80" w:rsidP="00C60F80">
      <w:pPr>
        <w:pStyle w:val="BodyText"/>
        <w:numPr>
          <w:ilvl w:val="0"/>
          <w:numId w:val="28"/>
        </w:numPr>
        <w:spacing w:before="78" w:line="360" w:lineRule="auto"/>
        <w:ind w:right="144"/>
        <w:jc w:val="both"/>
        <w:rPr>
          <w:rFonts w:asciiTheme="majorHAnsi" w:hAnsiTheme="majorHAnsi"/>
          <w:color w:val="231F20"/>
          <w:w w:val="115"/>
          <w:sz w:val="20"/>
          <w:szCs w:val="20"/>
        </w:rPr>
      </w:pPr>
      <w:r w:rsidRPr="00C60F80">
        <w:rPr>
          <w:rFonts w:asciiTheme="majorHAnsi" w:hAnsiTheme="majorHAnsi"/>
          <w:sz w:val="20"/>
          <w:szCs w:val="20"/>
        </w:rPr>
        <w:t xml:space="preserve">Yilmaz, E., &amp; </w:t>
      </w:r>
      <w:proofErr w:type="spellStart"/>
      <w:r w:rsidRPr="00C60F80">
        <w:rPr>
          <w:rFonts w:asciiTheme="majorHAnsi" w:hAnsiTheme="majorHAnsi"/>
          <w:sz w:val="20"/>
          <w:szCs w:val="20"/>
        </w:rPr>
        <w:t>Demir</w:t>
      </w:r>
      <w:proofErr w:type="spellEnd"/>
      <w:r w:rsidRPr="00C60F80">
        <w:rPr>
          <w:rFonts w:asciiTheme="majorHAnsi" w:hAnsiTheme="majorHAnsi"/>
          <w:sz w:val="20"/>
          <w:szCs w:val="20"/>
        </w:rPr>
        <w:t>, S. (2023). AI integration in Turkish manufacturing SMEs: A case of competitive advantage. Anatolian Journal of Business and Economics, 11(3), 210–227.</w:t>
      </w:r>
    </w:p>
    <w:sectPr w:rsidR="00727DFC" w:rsidSect="005D590D">
      <w:type w:val="continuous"/>
      <w:pgSz w:w="11910" w:h="15880"/>
      <w:pgMar w:top="640" w:right="566" w:bottom="280" w:left="566" w:header="0" w:footer="432" w:gutter="0"/>
      <w:cols w:num="2" w:space="11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66E10" w14:textId="77777777" w:rsidR="0085448F" w:rsidRDefault="0085448F">
      <w:r>
        <w:separator/>
      </w:r>
    </w:p>
  </w:endnote>
  <w:endnote w:type="continuationSeparator" w:id="0">
    <w:p w14:paraId="4559B5D9" w14:textId="77777777" w:rsidR="0085448F" w:rsidRDefault="0085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Arabic">
    <w:altName w:val="Times New Roman"/>
    <w:panose1 w:val="00000000000000000000"/>
    <w:charset w:val="00"/>
    <w:family w:val="roman"/>
    <w:notTrueType/>
    <w:pitch w:val="default"/>
  </w:font>
  <w:font w:name="Simplified Arabic">
    <w:charset w:val="B2"/>
    <w:family w:val="roman"/>
    <w:pitch w:val="variable"/>
    <w:sig w:usb0="00002003" w:usb1="80000000" w:usb2="00000008" w:usb3="00000000" w:csb0="00000041" w:csb1="00000000"/>
  </w:font>
  <w:font w:name="Arial MT">
    <w:altName w:val="Arial"/>
    <w:charset w:val="01"/>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6117" w14:textId="038C0012" w:rsidR="00141109" w:rsidRPr="008318E2" w:rsidRDefault="00141109" w:rsidP="008318E2">
    <w:pPr>
      <w:pStyle w:val="Footer"/>
      <w:tabs>
        <w:tab w:val="clear" w:pos="4680"/>
        <w:tab w:val="clear" w:pos="9360"/>
        <w:tab w:val="left" w:pos="3320"/>
        <w:tab w:val="center" w:pos="5389"/>
      </w:tabs>
      <w:rPr>
        <w:caps/>
        <w:noProof/>
        <w:color w:val="4F81BD" w:themeColor="accent1"/>
      </w:rPr>
    </w:pPr>
    <w:r>
      <w:rPr>
        <w:noProof/>
        <w:sz w:val="20"/>
      </w:rPr>
      <mc:AlternateContent>
        <mc:Choice Requires="wps">
          <w:drawing>
            <wp:anchor distT="0" distB="0" distL="0" distR="0" simplePos="0" relativeHeight="251659264" behindDoc="1" locked="0" layoutInCell="1" allowOverlap="1" wp14:anchorId="10366304" wp14:editId="2FBE99A0">
              <wp:simplePos x="0" y="0"/>
              <wp:positionH relativeFrom="page">
                <wp:posOffset>600501</wp:posOffset>
              </wp:positionH>
              <wp:positionV relativeFrom="margin">
                <wp:posOffset>9481402</wp:posOffset>
              </wp:positionV>
              <wp:extent cx="2626995" cy="115267"/>
              <wp:effectExtent l="0" t="0" r="0" b="0"/>
              <wp:wrapNone/>
              <wp:docPr id="18876994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115267"/>
                      </a:xfrm>
                      <a:prstGeom prst="rect">
                        <a:avLst/>
                      </a:prstGeom>
                    </wps:spPr>
                    <wps:txbx>
                      <w:txbxContent>
                        <w:p w14:paraId="0B66657A" w14:textId="77777777" w:rsidR="00141109" w:rsidRPr="007A042C" w:rsidRDefault="00141109" w:rsidP="004D2F64">
                          <w:pPr>
                            <w:spacing w:before="12"/>
                            <w:ind w:left="20"/>
                            <w:rPr>
                              <w:rFonts w:asciiTheme="minorHAnsi" w:hAnsiTheme="minorHAnsi" w:cstheme="minorHAnsi"/>
                              <w:b/>
                              <w:bCs/>
                              <w:color w:val="4F81BD" w:themeColor="accent1"/>
                              <w:sz w:val="14"/>
                              <w:szCs w:val="14"/>
                            </w:rPr>
                          </w:pPr>
                          <w:r w:rsidRPr="00FF5824">
                            <w:rPr>
                              <w:rFonts w:asciiTheme="minorHAnsi" w:hAnsiTheme="minorHAnsi" w:cstheme="minorHAnsi"/>
                              <w:b/>
                              <w:bCs/>
                              <w:color w:val="4F81BD" w:themeColor="accent1"/>
                              <w:sz w:val="14"/>
                              <w:szCs w:val="14"/>
                            </w:rPr>
                            <w:t>Frontline Marketing, Management and Economics Journal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0366304" id="_x0000_t202" coordsize="21600,21600" o:spt="202" path="m,l,21600r21600,l21600,xe">
              <v:stroke joinstyle="miter"/>
              <v:path gradientshapeok="t" o:connecttype="rect"/>
            </v:shapetype>
            <v:shape id="Text Box 14" o:spid="_x0000_s1029" type="#_x0000_t202" style="position:absolute;margin-left:47.3pt;margin-top:746.55pt;width:206.85pt;height:9.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" filled="f" stroked="f">
              <v:path arrowok="t"/>
              <v:textbox inset="0,0,0,0">
                <w:txbxContent>
                  <w:p w14:paraId="0B66657A" w14:textId="77777777" w:rsidR="00141109" w:rsidRPr="007A042C" w:rsidRDefault="00141109" w:rsidP="004D2F64">
                    <w:pPr>
                      <w:spacing w:before="12"/>
                      <w:ind w:left="20"/>
                      <w:rPr>
                        <w:rFonts w:asciiTheme="minorHAnsi" w:hAnsiTheme="minorHAnsi" w:cstheme="minorHAnsi"/>
                        <w:b/>
                        <w:bCs/>
                        <w:color w:val="4F81BD" w:themeColor="accent1"/>
                        <w:sz w:val="14"/>
                        <w:szCs w:val="14"/>
                      </w:rPr>
                    </w:pPr>
                    <w:r w:rsidRPr="00FF5824">
                      <w:rPr>
                        <w:rFonts w:asciiTheme="minorHAnsi" w:hAnsiTheme="minorHAnsi" w:cstheme="minorHAnsi"/>
                        <w:b/>
                        <w:bCs/>
                        <w:color w:val="4F81BD" w:themeColor="accent1"/>
                        <w:sz w:val="14"/>
                        <w:szCs w:val="14"/>
                      </w:rPr>
                      <w:t>Frontline Marketing, Management and Economics Journal</w:t>
                    </w:r>
                  </w:p>
                </w:txbxContent>
              </v:textbox>
              <w10:wrap anchorx="page" anchory="margin"/>
            </v:shape>
          </w:pict>
        </mc:Fallback>
      </mc:AlternateContent>
    </w:r>
    <w:r>
      <w:rPr>
        <w:caps/>
        <w:color w:val="4F81BD" w:themeColor="accent1"/>
      </w:rPr>
      <w:tab/>
    </w:r>
    <w:r>
      <w:rPr>
        <w:caps/>
        <w:color w:val="4F81BD" w:themeColor="accent1"/>
      </w:rPr>
      <w:tab/>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9D25A2">
      <w:rPr>
        <w:caps/>
        <w:noProof/>
        <w:color w:val="4F81BD" w:themeColor="accent1"/>
      </w:rPr>
      <w:t>12</w:t>
    </w:r>
    <w:r>
      <w:rPr>
        <w:caps/>
        <w:noProof/>
        <w:color w:val="4F81BD"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D99EF" w14:textId="7ACE8797" w:rsidR="00141109" w:rsidRDefault="00141109" w:rsidP="007A042C">
    <w:pPr>
      <w:pStyle w:val="Footer"/>
      <w:tabs>
        <w:tab w:val="clear" w:pos="4680"/>
        <w:tab w:val="clear" w:pos="9360"/>
        <w:tab w:val="left" w:pos="3320"/>
        <w:tab w:val="center" w:pos="5389"/>
      </w:tabs>
      <w:rPr>
        <w:caps/>
        <w:noProof/>
        <w:color w:val="4F81BD" w:themeColor="accent1"/>
      </w:rPr>
    </w:pPr>
    <w:r>
      <w:rPr>
        <w:caps/>
        <w:color w:val="4F81BD" w:themeColor="accent1"/>
      </w:rPr>
      <w:tab/>
    </w:r>
    <w:r>
      <w:rPr>
        <w:caps/>
        <w:color w:val="4F81BD" w:themeColor="accent1"/>
      </w:rPr>
      <w:tab/>
    </w:r>
    <w:r>
      <w:rPr>
        <w:noProof/>
        <w:sz w:val="20"/>
      </w:rPr>
      <mc:AlternateContent>
        <mc:Choice Requires="wps">
          <w:drawing>
            <wp:anchor distT="0" distB="0" distL="0" distR="0" simplePos="0" relativeHeight="251661312" behindDoc="1" locked="0" layoutInCell="1" allowOverlap="1" wp14:anchorId="09C27927" wp14:editId="04AE764F">
              <wp:simplePos x="0" y="0"/>
              <wp:positionH relativeFrom="page">
                <wp:posOffset>600710</wp:posOffset>
              </wp:positionH>
              <wp:positionV relativeFrom="page">
                <wp:posOffset>9717405</wp:posOffset>
              </wp:positionV>
              <wp:extent cx="2627453" cy="260430"/>
              <wp:effectExtent l="0" t="0" r="0" b="0"/>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7453" cy="260430"/>
                      </a:xfrm>
                      <a:prstGeom prst="rect">
                        <a:avLst/>
                      </a:prstGeom>
                    </wps:spPr>
                    <wps:txbx>
                      <w:txbxContent>
                        <w:p w14:paraId="1AAFE554" w14:textId="77777777" w:rsidR="00141109" w:rsidRPr="007A042C" w:rsidRDefault="00141109" w:rsidP="004D2F64">
                          <w:pPr>
                            <w:spacing w:before="12"/>
                            <w:ind w:left="20"/>
                            <w:rPr>
                              <w:rFonts w:asciiTheme="minorHAnsi" w:hAnsiTheme="minorHAnsi" w:cstheme="minorHAnsi"/>
                              <w:b/>
                              <w:bCs/>
                              <w:color w:val="4F81BD" w:themeColor="accent1"/>
                              <w:sz w:val="14"/>
                              <w:szCs w:val="14"/>
                            </w:rPr>
                          </w:pPr>
                          <w:r w:rsidRPr="00FF5824">
                            <w:rPr>
                              <w:rFonts w:asciiTheme="minorHAnsi" w:hAnsiTheme="minorHAnsi" w:cstheme="minorHAnsi"/>
                              <w:b/>
                              <w:bCs/>
                              <w:color w:val="4F81BD" w:themeColor="accent1"/>
                              <w:sz w:val="14"/>
                              <w:szCs w:val="14"/>
                            </w:rPr>
                            <w:t>Frontline Marketing, Management and Economics Journal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9C27927" id="_x0000_t202" coordsize="21600,21600" o:spt="202" path="m,l,21600r21600,l21600,xe">
              <v:stroke joinstyle="miter"/>
              <v:path gradientshapeok="t" o:connecttype="rect"/>
            </v:shapetype>
            <v:shape id="_x0000_s1030" type="#_x0000_t202" style="position:absolute;margin-left:47.3pt;margin-top:765.15pt;width:206.9pt;height:2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" filled="f" stroked="f">
              <v:path arrowok="t"/>
              <v:textbox inset="0,0,0,0">
                <w:txbxContent>
                  <w:p w14:paraId="1AAFE554" w14:textId="77777777" w:rsidR="00141109" w:rsidRPr="007A042C" w:rsidRDefault="00141109" w:rsidP="004D2F64">
                    <w:pPr>
                      <w:spacing w:before="12"/>
                      <w:ind w:left="20"/>
                      <w:rPr>
                        <w:rFonts w:asciiTheme="minorHAnsi" w:hAnsiTheme="minorHAnsi" w:cstheme="minorHAnsi"/>
                        <w:b/>
                        <w:bCs/>
                        <w:color w:val="4F81BD" w:themeColor="accent1"/>
                        <w:sz w:val="14"/>
                        <w:szCs w:val="14"/>
                      </w:rPr>
                    </w:pPr>
                    <w:r w:rsidRPr="00FF5824">
                      <w:rPr>
                        <w:rFonts w:asciiTheme="minorHAnsi" w:hAnsiTheme="minorHAnsi" w:cstheme="minorHAnsi"/>
                        <w:b/>
                        <w:bCs/>
                        <w:color w:val="4F81BD" w:themeColor="accent1"/>
                        <w:sz w:val="14"/>
                        <w:szCs w:val="14"/>
                      </w:rPr>
                      <w:t>Frontline Marketing, Management and Economics Journal</w:t>
                    </w:r>
                  </w:p>
                </w:txbxContent>
              </v:textbox>
              <w10:wrap anchorx="page" anchory="page"/>
            </v:shape>
          </w:pict>
        </mc:Fallback>
      </mc:AlternateContent>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9D25A2">
      <w:rPr>
        <w:caps/>
        <w:noProof/>
        <w:color w:val="4F81BD" w:themeColor="accent1"/>
      </w:rPr>
      <w:t>7</w:t>
    </w:r>
    <w:r>
      <w:rPr>
        <w:caps/>
        <w:noProof/>
        <w:color w:val="4F81BD" w:themeColor="accent1"/>
      </w:rPr>
      <w:fldChar w:fldCharType="end"/>
    </w:r>
  </w:p>
  <w:p w14:paraId="64075E88" w14:textId="77777777" w:rsidR="00141109" w:rsidRDefault="00141109">
    <w:pPr>
      <w:pStyle w:val="BodyText"/>
      <w:spacing w:line="14" w:lineRule="auto"/>
      <w:rPr>
        <w:sz w:val="2"/>
      </w:rPr>
    </w:pPr>
  </w:p>
  <w:p w14:paraId="60C9D6C8" w14:textId="77777777" w:rsidR="00141109" w:rsidRDefault="0014110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8AC88" w14:textId="77777777" w:rsidR="0085448F" w:rsidRDefault="0085448F">
      <w:r>
        <w:separator/>
      </w:r>
    </w:p>
  </w:footnote>
  <w:footnote w:type="continuationSeparator" w:id="0">
    <w:p w14:paraId="7F6850CF" w14:textId="77777777" w:rsidR="0085448F" w:rsidRDefault="0085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3C5CC" w14:textId="77777777" w:rsidR="00141109" w:rsidRDefault="00141109">
    <w:pPr>
      <w:pStyle w:val="Header"/>
      <w:rPr>
        <w:rFonts w:asciiTheme="minorHAnsi" w:hAnsiTheme="minorHAnsi" w:cstheme="minorHAnsi"/>
        <w:b/>
        <w:bCs/>
      </w:rPr>
    </w:pPr>
  </w:p>
  <w:p w14:paraId="347AE2B6" w14:textId="3E6B24AF" w:rsidR="00141109" w:rsidRDefault="00141109" w:rsidP="00A00A67">
    <w:pPr>
      <w:pStyle w:val="Header"/>
      <w:ind w:left="288"/>
    </w:pPr>
    <w:r w:rsidRPr="007A042C">
      <w:rPr>
        <w:rFonts w:asciiTheme="minorHAnsi" w:hAnsiTheme="minorHAnsi" w:cstheme="minorHAnsi"/>
        <w:b/>
        <w:bCs/>
      </w:rPr>
      <w:t>FRONTLINE JOURNAL</w:t>
    </w:r>
    <w:r>
      <w:rPr>
        <w:rFonts w:asciiTheme="minorHAnsi" w:hAnsiTheme="minorHAnsi" w:cstheme="minorHAnsi"/>
        <w:b/>
        <w:bCs/>
      </w:rPr>
      <w: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463B" w14:textId="00FCAB9D" w:rsidR="00141109" w:rsidRDefault="00141109" w:rsidP="001B21D9">
    <w:pPr>
      <w:pStyle w:val="Header"/>
      <w:ind w:left="288"/>
      <w:jc w:val="center"/>
      <w:rPr>
        <w:rFonts w:asciiTheme="minorHAnsi" w:hAnsiTheme="minorHAnsi" w:cstheme="minorHAnsi"/>
        <w:b/>
        <w:bCs/>
      </w:rPr>
    </w:pPr>
  </w:p>
  <w:p w14:paraId="67C9942C" w14:textId="288D4A37" w:rsidR="00141109" w:rsidRDefault="00141109" w:rsidP="00A00A67">
    <w:pPr>
      <w:pStyle w:val="Header"/>
      <w:ind w:left="288"/>
    </w:pPr>
    <w:r w:rsidRPr="007A042C">
      <w:rPr>
        <w:rFonts w:asciiTheme="minorHAnsi" w:hAnsiTheme="minorHAnsi" w:cstheme="minorHAnsi"/>
        <w:b/>
        <w:bCs/>
      </w:rPr>
      <w:t>FRONTLINE JOURNAL</w:t>
    </w:r>
    <w:r>
      <w:rPr>
        <w:rFonts w:asciiTheme="minorHAnsi" w:hAnsiTheme="minorHAnsi" w:cstheme="minorHAnsi"/>
        <w:b/>
        <w:bCs/>
      </w:rPr>
      <w:t>S</w:t>
    </w:r>
  </w:p>
  <w:p w14:paraId="30033EC0" w14:textId="77777777" w:rsidR="00141109" w:rsidRDefault="00141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36B4"/>
    <w:multiLevelType w:val="hybridMultilevel"/>
    <w:tmpl w:val="895CF4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5DC004C"/>
    <w:multiLevelType w:val="hybridMultilevel"/>
    <w:tmpl w:val="51848A0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96D96"/>
    <w:multiLevelType w:val="hybridMultilevel"/>
    <w:tmpl w:val="D032B3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82926"/>
    <w:multiLevelType w:val="multilevel"/>
    <w:tmpl w:val="A7E0B510"/>
    <w:lvl w:ilvl="0">
      <w:start w:val="1"/>
      <w:numFmt w:val="decimal"/>
      <w:lvlText w:val="%1."/>
      <w:lvlJc w:val="left"/>
      <w:pPr>
        <w:ind w:left="454" w:hanging="171"/>
        <w:jc w:val="right"/>
      </w:pPr>
      <w:rPr>
        <w:rFonts w:ascii="Calibri" w:eastAsia="Calibri" w:hAnsi="Calibri" w:cs="Calibri" w:hint="default"/>
        <w:b w:val="0"/>
        <w:bCs w:val="0"/>
        <w:i w:val="0"/>
        <w:iCs w:val="0"/>
        <w:color w:val="231F20"/>
        <w:spacing w:val="0"/>
        <w:w w:val="107"/>
        <w:sz w:val="16"/>
        <w:szCs w:val="16"/>
        <w:lang w:val="en-US" w:eastAsia="en-US" w:bidi="ar-SA"/>
      </w:rPr>
    </w:lvl>
    <w:lvl w:ilvl="1">
      <w:start w:val="1"/>
      <w:numFmt w:val="decimal"/>
      <w:lvlText w:val="%1.%2."/>
      <w:lvlJc w:val="left"/>
      <w:pPr>
        <w:ind w:left="388" w:hanging="281"/>
        <w:jc w:val="right"/>
      </w:pPr>
      <w:rPr>
        <w:rFonts w:ascii="Calibri" w:eastAsia="Calibri" w:hAnsi="Calibri" w:cs="Calibri" w:hint="default"/>
        <w:b w:val="0"/>
        <w:bCs w:val="0"/>
        <w:i/>
        <w:iCs/>
        <w:color w:val="231F20"/>
        <w:spacing w:val="-4"/>
        <w:w w:val="86"/>
        <w:sz w:val="16"/>
        <w:szCs w:val="16"/>
        <w:lang w:val="en-US" w:eastAsia="en-US" w:bidi="ar-SA"/>
      </w:rPr>
    </w:lvl>
    <w:lvl w:ilvl="2">
      <w:numFmt w:val="bullet"/>
      <w:lvlText w:val="•"/>
      <w:lvlJc w:val="left"/>
      <w:pPr>
        <w:ind w:left="983" w:hanging="281"/>
      </w:pPr>
      <w:rPr>
        <w:rFonts w:hint="default"/>
        <w:lang w:val="en-US" w:eastAsia="en-US" w:bidi="ar-SA"/>
      </w:rPr>
    </w:lvl>
    <w:lvl w:ilvl="3">
      <w:numFmt w:val="bullet"/>
      <w:lvlText w:val="•"/>
      <w:lvlJc w:val="left"/>
      <w:pPr>
        <w:ind w:left="1507" w:hanging="281"/>
      </w:pPr>
      <w:rPr>
        <w:rFonts w:hint="default"/>
        <w:lang w:val="en-US" w:eastAsia="en-US" w:bidi="ar-SA"/>
      </w:rPr>
    </w:lvl>
    <w:lvl w:ilvl="4">
      <w:numFmt w:val="bullet"/>
      <w:lvlText w:val="•"/>
      <w:lvlJc w:val="left"/>
      <w:pPr>
        <w:ind w:left="2030" w:hanging="281"/>
      </w:pPr>
      <w:rPr>
        <w:rFonts w:hint="default"/>
        <w:lang w:val="en-US" w:eastAsia="en-US" w:bidi="ar-SA"/>
      </w:rPr>
    </w:lvl>
    <w:lvl w:ilvl="5">
      <w:numFmt w:val="bullet"/>
      <w:lvlText w:val="•"/>
      <w:lvlJc w:val="left"/>
      <w:pPr>
        <w:ind w:left="2554" w:hanging="281"/>
      </w:pPr>
      <w:rPr>
        <w:rFonts w:hint="default"/>
        <w:lang w:val="en-US" w:eastAsia="en-US" w:bidi="ar-SA"/>
      </w:rPr>
    </w:lvl>
    <w:lvl w:ilvl="6">
      <w:numFmt w:val="bullet"/>
      <w:lvlText w:val="•"/>
      <w:lvlJc w:val="left"/>
      <w:pPr>
        <w:ind w:left="3077" w:hanging="281"/>
      </w:pPr>
      <w:rPr>
        <w:rFonts w:hint="default"/>
        <w:lang w:val="en-US" w:eastAsia="en-US" w:bidi="ar-SA"/>
      </w:rPr>
    </w:lvl>
    <w:lvl w:ilvl="7">
      <w:numFmt w:val="bullet"/>
      <w:lvlText w:val="•"/>
      <w:lvlJc w:val="left"/>
      <w:pPr>
        <w:ind w:left="3601" w:hanging="281"/>
      </w:pPr>
      <w:rPr>
        <w:rFonts w:hint="default"/>
        <w:lang w:val="en-US" w:eastAsia="en-US" w:bidi="ar-SA"/>
      </w:rPr>
    </w:lvl>
    <w:lvl w:ilvl="8">
      <w:numFmt w:val="bullet"/>
      <w:lvlText w:val="•"/>
      <w:lvlJc w:val="left"/>
      <w:pPr>
        <w:ind w:left="4124" w:hanging="281"/>
      </w:pPr>
      <w:rPr>
        <w:rFonts w:hint="default"/>
        <w:lang w:val="en-US" w:eastAsia="en-US" w:bidi="ar-SA"/>
      </w:rPr>
    </w:lvl>
  </w:abstractNum>
  <w:abstractNum w:abstractNumId="4" w15:restartNumberingAfterBreak="0">
    <w:nsid w:val="0FEB5096"/>
    <w:multiLevelType w:val="hybridMultilevel"/>
    <w:tmpl w:val="7C986056"/>
    <w:lvl w:ilvl="0" w:tplc="2A042644">
      <w:numFmt w:val="bullet"/>
      <w:lvlText w:val="•"/>
      <w:lvlJc w:val="left"/>
      <w:pPr>
        <w:ind w:left="723" w:hanging="435"/>
      </w:pPr>
      <w:rPr>
        <w:rFonts w:ascii="Cambria" w:eastAsia="Times New Roman" w:hAnsi="Cambria" w:cs="Times New Roman" w:hint="default"/>
      </w:rPr>
    </w:lvl>
    <w:lvl w:ilvl="1" w:tplc="40090003" w:tentative="1">
      <w:start w:val="1"/>
      <w:numFmt w:val="bullet"/>
      <w:lvlText w:val="o"/>
      <w:lvlJc w:val="left"/>
      <w:pPr>
        <w:ind w:left="1368" w:hanging="360"/>
      </w:pPr>
      <w:rPr>
        <w:rFonts w:ascii="Courier New" w:hAnsi="Courier New" w:cs="Courier New" w:hint="default"/>
      </w:rPr>
    </w:lvl>
    <w:lvl w:ilvl="2" w:tplc="40090005" w:tentative="1">
      <w:start w:val="1"/>
      <w:numFmt w:val="bullet"/>
      <w:lvlText w:val=""/>
      <w:lvlJc w:val="left"/>
      <w:pPr>
        <w:ind w:left="2088" w:hanging="360"/>
      </w:pPr>
      <w:rPr>
        <w:rFonts w:ascii="Wingdings" w:hAnsi="Wingdings" w:hint="default"/>
      </w:rPr>
    </w:lvl>
    <w:lvl w:ilvl="3" w:tplc="40090001" w:tentative="1">
      <w:start w:val="1"/>
      <w:numFmt w:val="bullet"/>
      <w:lvlText w:val=""/>
      <w:lvlJc w:val="left"/>
      <w:pPr>
        <w:ind w:left="2808" w:hanging="360"/>
      </w:pPr>
      <w:rPr>
        <w:rFonts w:ascii="Symbol" w:hAnsi="Symbol" w:hint="default"/>
      </w:rPr>
    </w:lvl>
    <w:lvl w:ilvl="4" w:tplc="40090003" w:tentative="1">
      <w:start w:val="1"/>
      <w:numFmt w:val="bullet"/>
      <w:lvlText w:val="o"/>
      <w:lvlJc w:val="left"/>
      <w:pPr>
        <w:ind w:left="3528" w:hanging="360"/>
      </w:pPr>
      <w:rPr>
        <w:rFonts w:ascii="Courier New" w:hAnsi="Courier New" w:cs="Courier New" w:hint="default"/>
      </w:rPr>
    </w:lvl>
    <w:lvl w:ilvl="5" w:tplc="40090005" w:tentative="1">
      <w:start w:val="1"/>
      <w:numFmt w:val="bullet"/>
      <w:lvlText w:val=""/>
      <w:lvlJc w:val="left"/>
      <w:pPr>
        <w:ind w:left="4248" w:hanging="360"/>
      </w:pPr>
      <w:rPr>
        <w:rFonts w:ascii="Wingdings" w:hAnsi="Wingdings" w:hint="default"/>
      </w:rPr>
    </w:lvl>
    <w:lvl w:ilvl="6" w:tplc="40090001" w:tentative="1">
      <w:start w:val="1"/>
      <w:numFmt w:val="bullet"/>
      <w:lvlText w:val=""/>
      <w:lvlJc w:val="left"/>
      <w:pPr>
        <w:ind w:left="4968" w:hanging="360"/>
      </w:pPr>
      <w:rPr>
        <w:rFonts w:ascii="Symbol" w:hAnsi="Symbol" w:hint="default"/>
      </w:rPr>
    </w:lvl>
    <w:lvl w:ilvl="7" w:tplc="40090003" w:tentative="1">
      <w:start w:val="1"/>
      <w:numFmt w:val="bullet"/>
      <w:lvlText w:val="o"/>
      <w:lvlJc w:val="left"/>
      <w:pPr>
        <w:ind w:left="5688" w:hanging="360"/>
      </w:pPr>
      <w:rPr>
        <w:rFonts w:ascii="Courier New" w:hAnsi="Courier New" w:cs="Courier New" w:hint="default"/>
      </w:rPr>
    </w:lvl>
    <w:lvl w:ilvl="8" w:tplc="40090005" w:tentative="1">
      <w:start w:val="1"/>
      <w:numFmt w:val="bullet"/>
      <w:lvlText w:val=""/>
      <w:lvlJc w:val="left"/>
      <w:pPr>
        <w:ind w:left="6408" w:hanging="360"/>
      </w:pPr>
      <w:rPr>
        <w:rFonts w:ascii="Wingdings" w:hAnsi="Wingdings" w:hint="default"/>
      </w:rPr>
    </w:lvl>
  </w:abstractNum>
  <w:abstractNum w:abstractNumId="5" w15:restartNumberingAfterBreak="0">
    <w:nsid w:val="179157B2"/>
    <w:multiLevelType w:val="hybridMultilevel"/>
    <w:tmpl w:val="FE2ED83E"/>
    <w:lvl w:ilvl="0" w:tplc="78D4DB20">
      <w:start w:val="1"/>
      <w:numFmt w:val="decimal"/>
      <w:lvlText w:val="%1."/>
      <w:lvlJc w:val="left"/>
      <w:pPr>
        <w:ind w:left="311" w:hanging="203"/>
      </w:pPr>
      <w:rPr>
        <w:rFonts w:ascii="Times New Roman" w:eastAsia="Times New Roman" w:hAnsi="Times New Roman" w:cs="Times New Roman" w:hint="default"/>
        <w:b w:val="0"/>
        <w:bCs w:val="0"/>
        <w:i w:val="0"/>
        <w:iCs w:val="0"/>
        <w:color w:val="231F20"/>
        <w:spacing w:val="0"/>
        <w:w w:val="106"/>
        <w:sz w:val="16"/>
        <w:szCs w:val="16"/>
        <w:lang w:val="en-US" w:eastAsia="en-US" w:bidi="ar-SA"/>
      </w:rPr>
    </w:lvl>
    <w:lvl w:ilvl="1" w:tplc="FCE69438">
      <w:numFmt w:val="bullet"/>
      <w:lvlText w:val="•"/>
      <w:lvlJc w:val="left"/>
      <w:pPr>
        <w:ind w:left="805" w:hanging="203"/>
      </w:pPr>
      <w:rPr>
        <w:rFonts w:hint="default"/>
        <w:lang w:val="en-US" w:eastAsia="en-US" w:bidi="ar-SA"/>
      </w:rPr>
    </w:lvl>
    <w:lvl w:ilvl="2" w:tplc="D6E22BA8">
      <w:numFmt w:val="bullet"/>
      <w:lvlText w:val="•"/>
      <w:lvlJc w:val="left"/>
      <w:pPr>
        <w:ind w:left="1290" w:hanging="203"/>
      </w:pPr>
      <w:rPr>
        <w:rFonts w:hint="default"/>
        <w:lang w:val="en-US" w:eastAsia="en-US" w:bidi="ar-SA"/>
      </w:rPr>
    </w:lvl>
    <w:lvl w:ilvl="3" w:tplc="5ADE80D2">
      <w:numFmt w:val="bullet"/>
      <w:lvlText w:val="•"/>
      <w:lvlJc w:val="left"/>
      <w:pPr>
        <w:ind w:left="1775" w:hanging="203"/>
      </w:pPr>
      <w:rPr>
        <w:rFonts w:hint="default"/>
        <w:lang w:val="en-US" w:eastAsia="en-US" w:bidi="ar-SA"/>
      </w:rPr>
    </w:lvl>
    <w:lvl w:ilvl="4" w:tplc="70E2286E">
      <w:numFmt w:val="bullet"/>
      <w:lvlText w:val="•"/>
      <w:lvlJc w:val="left"/>
      <w:pPr>
        <w:ind w:left="2260" w:hanging="203"/>
      </w:pPr>
      <w:rPr>
        <w:rFonts w:hint="default"/>
        <w:lang w:val="en-US" w:eastAsia="en-US" w:bidi="ar-SA"/>
      </w:rPr>
    </w:lvl>
    <w:lvl w:ilvl="5" w:tplc="467ECC02">
      <w:numFmt w:val="bullet"/>
      <w:lvlText w:val="•"/>
      <w:lvlJc w:val="left"/>
      <w:pPr>
        <w:ind w:left="2745" w:hanging="203"/>
      </w:pPr>
      <w:rPr>
        <w:rFonts w:hint="default"/>
        <w:lang w:val="en-US" w:eastAsia="en-US" w:bidi="ar-SA"/>
      </w:rPr>
    </w:lvl>
    <w:lvl w:ilvl="6" w:tplc="101A32DE">
      <w:numFmt w:val="bullet"/>
      <w:lvlText w:val="•"/>
      <w:lvlJc w:val="left"/>
      <w:pPr>
        <w:ind w:left="3230" w:hanging="203"/>
      </w:pPr>
      <w:rPr>
        <w:rFonts w:hint="default"/>
        <w:lang w:val="en-US" w:eastAsia="en-US" w:bidi="ar-SA"/>
      </w:rPr>
    </w:lvl>
    <w:lvl w:ilvl="7" w:tplc="F57AD0C8">
      <w:numFmt w:val="bullet"/>
      <w:lvlText w:val="•"/>
      <w:lvlJc w:val="left"/>
      <w:pPr>
        <w:ind w:left="3715" w:hanging="203"/>
      </w:pPr>
      <w:rPr>
        <w:rFonts w:hint="default"/>
        <w:lang w:val="en-US" w:eastAsia="en-US" w:bidi="ar-SA"/>
      </w:rPr>
    </w:lvl>
    <w:lvl w:ilvl="8" w:tplc="11125880">
      <w:numFmt w:val="bullet"/>
      <w:lvlText w:val="•"/>
      <w:lvlJc w:val="left"/>
      <w:pPr>
        <w:ind w:left="4201" w:hanging="203"/>
      </w:pPr>
      <w:rPr>
        <w:rFonts w:hint="default"/>
        <w:lang w:val="en-US" w:eastAsia="en-US" w:bidi="ar-SA"/>
      </w:rPr>
    </w:lvl>
  </w:abstractNum>
  <w:abstractNum w:abstractNumId="6" w15:restartNumberingAfterBreak="0">
    <w:nsid w:val="1BAB3280"/>
    <w:multiLevelType w:val="hybridMultilevel"/>
    <w:tmpl w:val="7312D4FE"/>
    <w:lvl w:ilvl="0" w:tplc="61962CF4">
      <w:start w:val="3"/>
      <w:numFmt w:val="lowerLetter"/>
      <w:lvlText w:val="%1."/>
      <w:lvlJc w:val="left"/>
      <w:pPr>
        <w:ind w:left="1008" w:hanging="360"/>
      </w:pPr>
      <w:rPr>
        <w:rFonts w:hint="default"/>
      </w:r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7" w15:restartNumberingAfterBreak="0">
    <w:nsid w:val="1D771385"/>
    <w:multiLevelType w:val="hybridMultilevel"/>
    <w:tmpl w:val="DE8E7F7E"/>
    <w:lvl w:ilvl="0" w:tplc="DF0091A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6CA4094"/>
    <w:multiLevelType w:val="hybridMultilevel"/>
    <w:tmpl w:val="6DBEAB4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27DD1002"/>
    <w:multiLevelType w:val="hybridMultilevel"/>
    <w:tmpl w:val="E7EE3040"/>
    <w:lvl w:ilvl="0" w:tplc="852C5978">
      <w:start w:val="1"/>
      <w:numFmt w:val="upperLetter"/>
      <w:lvlText w:val="%1."/>
      <w:lvlJc w:val="left"/>
      <w:pPr>
        <w:ind w:left="660" w:hanging="372"/>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abstractNum w:abstractNumId="10" w15:restartNumberingAfterBreak="0">
    <w:nsid w:val="2CBF4BC0"/>
    <w:multiLevelType w:val="hybridMultilevel"/>
    <w:tmpl w:val="AB74364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34E00A1"/>
    <w:multiLevelType w:val="hybridMultilevel"/>
    <w:tmpl w:val="95881136"/>
    <w:lvl w:ilvl="0" w:tplc="888E13C6">
      <w:start w:val="1"/>
      <w:numFmt w:val="decimal"/>
      <w:lvlText w:val="%1."/>
      <w:lvlJc w:val="left"/>
      <w:pPr>
        <w:ind w:left="1008" w:hanging="360"/>
      </w:pPr>
      <w:rPr>
        <w:b/>
        <w:bCs/>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342A79A6"/>
    <w:multiLevelType w:val="hybridMultilevel"/>
    <w:tmpl w:val="E500F6AC"/>
    <w:lvl w:ilvl="0" w:tplc="40090015">
      <w:start w:val="1"/>
      <w:numFmt w:val="upperLetter"/>
      <w:lvlText w:val="%1."/>
      <w:lvlJc w:val="left"/>
      <w:pPr>
        <w:ind w:left="1008" w:hanging="360"/>
      </w:pPr>
    </w:lvl>
    <w:lvl w:ilvl="1" w:tplc="C40A2CDC">
      <w:start w:val="1"/>
      <w:numFmt w:val="decimal"/>
      <w:lvlText w:val="%2."/>
      <w:lvlJc w:val="left"/>
      <w:pPr>
        <w:ind w:left="1788" w:hanging="420"/>
      </w:pPr>
      <w:rPr>
        <w:rFonts w:hint="default"/>
      </w:r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13" w15:restartNumberingAfterBreak="0">
    <w:nsid w:val="36F806DF"/>
    <w:multiLevelType w:val="hybridMultilevel"/>
    <w:tmpl w:val="823CA364"/>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14" w15:restartNumberingAfterBreak="0">
    <w:nsid w:val="382B19D5"/>
    <w:multiLevelType w:val="hybridMultilevel"/>
    <w:tmpl w:val="99C47FFE"/>
    <w:lvl w:ilvl="0" w:tplc="6BB0D750">
      <w:start w:val="1"/>
      <w:numFmt w:val="decimal"/>
      <w:lvlText w:val="%1."/>
      <w:lvlJc w:val="left"/>
      <w:pPr>
        <w:ind w:left="723" w:hanging="4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3C9728B8"/>
    <w:multiLevelType w:val="hybridMultilevel"/>
    <w:tmpl w:val="8B0AA6FE"/>
    <w:lvl w:ilvl="0" w:tplc="AA54D4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3DF63C7C"/>
    <w:multiLevelType w:val="hybridMultilevel"/>
    <w:tmpl w:val="37D439FE"/>
    <w:lvl w:ilvl="0" w:tplc="40090015">
      <w:start w:val="1"/>
      <w:numFmt w:val="upperLetter"/>
      <w:lvlText w:val="%1."/>
      <w:lvlJc w:val="left"/>
      <w:pPr>
        <w:ind w:left="1008" w:hanging="360"/>
      </w:p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17" w15:restartNumberingAfterBreak="0">
    <w:nsid w:val="4AD506A9"/>
    <w:multiLevelType w:val="hybridMultilevel"/>
    <w:tmpl w:val="7B20D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D33C5"/>
    <w:multiLevelType w:val="hybridMultilevel"/>
    <w:tmpl w:val="5976948A"/>
    <w:lvl w:ilvl="0" w:tplc="14FC738E">
      <w:start w:val="1"/>
      <w:numFmt w:val="decimal"/>
      <w:lvlText w:val="%1."/>
      <w:lvlJc w:val="left"/>
      <w:pPr>
        <w:ind w:left="718" w:hanging="430"/>
      </w:pPr>
      <w:rPr>
        <w:rFonts w:hint="default"/>
        <w:b/>
        <w:bCs/>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7552D95"/>
    <w:multiLevelType w:val="hybridMultilevel"/>
    <w:tmpl w:val="C1C2E29A"/>
    <w:lvl w:ilvl="0" w:tplc="9938696C">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5A820799"/>
    <w:multiLevelType w:val="hybridMultilevel"/>
    <w:tmpl w:val="33080A0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5AF23BB3"/>
    <w:multiLevelType w:val="hybridMultilevel"/>
    <w:tmpl w:val="EB804902"/>
    <w:lvl w:ilvl="0" w:tplc="52A63D20">
      <w:start w:val="1"/>
      <w:numFmt w:val="decimal"/>
      <w:lvlText w:val="%1."/>
      <w:lvlJc w:val="left"/>
      <w:pPr>
        <w:ind w:left="487" w:hanging="203"/>
      </w:pPr>
      <w:rPr>
        <w:rFonts w:ascii="Times New Roman" w:eastAsia="Times New Roman" w:hAnsi="Times New Roman" w:cs="Times New Roman" w:hint="default"/>
        <w:b w:val="0"/>
        <w:bCs w:val="0"/>
        <w:i w:val="0"/>
        <w:iCs w:val="0"/>
        <w:color w:val="231F20"/>
        <w:spacing w:val="-3"/>
        <w:w w:val="91"/>
        <w:sz w:val="16"/>
        <w:szCs w:val="16"/>
        <w:lang w:val="en-US" w:eastAsia="en-US" w:bidi="ar-SA"/>
      </w:rPr>
    </w:lvl>
    <w:lvl w:ilvl="1" w:tplc="847AA0F0">
      <w:numFmt w:val="bullet"/>
      <w:lvlText w:val="•"/>
      <w:lvlJc w:val="left"/>
      <w:pPr>
        <w:ind w:left="973" w:hanging="203"/>
      </w:pPr>
      <w:rPr>
        <w:rFonts w:hint="default"/>
        <w:lang w:val="en-US" w:eastAsia="en-US" w:bidi="ar-SA"/>
      </w:rPr>
    </w:lvl>
    <w:lvl w:ilvl="2" w:tplc="C6AAF87A">
      <w:numFmt w:val="bullet"/>
      <w:lvlText w:val="•"/>
      <w:lvlJc w:val="left"/>
      <w:pPr>
        <w:ind w:left="1466" w:hanging="203"/>
      </w:pPr>
      <w:rPr>
        <w:rFonts w:hint="default"/>
        <w:lang w:val="en-US" w:eastAsia="en-US" w:bidi="ar-SA"/>
      </w:rPr>
    </w:lvl>
    <w:lvl w:ilvl="3" w:tplc="0A58463E">
      <w:numFmt w:val="bullet"/>
      <w:lvlText w:val="•"/>
      <w:lvlJc w:val="left"/>
      <w:pPr>
        <w:ind w:left="1960" w:hanging="203"/>
      </w:pPr>
      <w:rPr>
        <w:rFonts w:hint="default"/>
        <w:lang w:val="en-US" w:eastAsia="en-US" w:bidi="ar-SA"/>
      </w:rPr>
    </w:lvl>
    <w:lvl w:ilvl="4" w:tplc="20301CCE">
      <w:numFmt w:val="bullet"/>
      <w:lvlText w:val="•"/>
      <w:lvlJc w:val="left"/>
      <w:pPr>
        <w:ind w:left="2453" w:hanging="203"/>
      </w:pPr>
      <w:rPr>
        <w:rFonts w:hint="default"/>
        <w:lang w:val="en-US" w:eastAsia="en-US" w:bidi="ar-SA"/>
      </w:rPr>
    </w:lvl>
    <w:lvl w:ilvl="5" w:tplc="5794474E">
      <w:numFmt w:val="bullet"/>
      <w:lvlText w:val="•"/>
      <w:lvlJc w:val="left"/>
      <w:pPr>
        <w:ind w:left="2946" w:hanging="203"/>
      </w:pPr>
      <w:rPr>
        <w:rFonts w:hint="default"/>
        <w:lang w:val="en-US" w:eastAsia="en-US" w:bidi="ar-SA"/>
      </w:rPr>
    </w:lvl>
    <w:lvl w:ilvl="6" w:tplc="E520BAA0">
      <w:numFmt w:val="bullet"/>
      <w:lvlText w:val="•"/>
      <w:lvlJc w:val="left"/>
      <w:pPr>
        <w:ind w:left="3440" w:hanging="203"/>
      </w:pPr>
      <w:rPr>
        <w:rFonts w:hint="default"/>
        <w:lang w:val="en-US" w:eastAsia="en-US" w:bidi="ar-SA"/>
      </w:rPr>
    </w:lvl>
    <w:lvl w:ilvl="7" w:tplc="FB6E3858">
      <w:numFmt w:val="bullet"/>
      <w:lvlText w:val="•"/>
      <w:lvlJc w:val="left"/>
      <w:pPr>
        <w:ind w:left="3933" w:hanging="203"/>
      </w:pPr>
      <w:rPr>
        <w:rFonts w:hint="default"/>
        <w:lang w:val="en-US" w:eastAsia="en-US" w:bidi="ar-SA"/>
      </w:rPr>
    </w:lvl>
    <w:lvl w:ilvl="8" w:tplc="040237B0">
      <w:numFmt w:val="bullet"/>
      <w:lvlText w:val="•"/>
      <w:lvlJc w:val="left"/>
      <w:pPr>
        <w:ind w:left="4427" w:hanging="203"/>
      </w:pPr>
      <w:rPr>
        <w:rFonts w:hint="default"/>
        <w:lang w:val="en-US" w:eastAsia="en-US" w:bidi="ar-SA"/>
      </w:rPr>
    </w:lvl>
  </w:abstractNum>
  <w:abstractNum w:abstractNumId="22" w15:restartNumberingAfterBreak="0">
    <w:nsid w:val="5E302E89"/>
    <w:multiLevelType w:val="hybridMultilevel"/>
    <w:tmpl w:val="662C07E8"/>
    <w:lvl w:ilvl="0" w:tplc="215E7B02">
      <w:start w:val="1"/>
      <w:numFmt w:val="upperLetter"/>
      <w:lvlText w:val="%1-"/>
      <w:lvlJc w:val="left"/>
      <w:pPr>
        <w:ind w:left="648" w:hanging="360"/>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abstractNum w:abstractNumId="23" w15:restartNumberingAfterBreak="0">
    <w:nsid w:val="62D54D96"/>
    <w:multiLevelType w:val="hybridMultilevel"/>
    <w:tmpl w:val="9A2ACBFA"/>
    <w:lvl w:ilvl="0" w:tplc="EF04F4F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3408E1"/>
    <w:multiLevelType w:val="hybridMultilevel"/>
    <w:tmpl w:val="B4A0E89C"/>
    <w:lvl w:ilvl="0" w:tplc="38090017">
      <w:start w:val="1"/>
      <w:numFmt w:val="lowerLetter"/>
      <w:lvlText w:val="%1)"/>
      <w:lvlJc w:val="left"/>
      <w:pPr>
        <w:ind w:left="572" w:hanging="286"/>
      </w:pPr>
      <w:rPr>
        <w:rFonts w:hint="default"/>
        <w:b w:val="0"/>
        <w:bCs w:val="0"/>
        <w:i w:val="0"/>
        <w:iCs w:val="0"/>
        <w:spacing w:val="-1"/>
        <w:w w:val="95"/>
        <w:sz w:val="24"/>
        <w:szCs w:val="24"/>
        <w:lang w:val="id" w:eastAsia="en-US" w:bidi="ar-SA"/>
      </w:rPr>
    </w:lvl>
    <w:lvl w:ilvl="1" w:tplc="FFFFFFFF">
      <w:numFmt w:val="bullet"/>
      <w:lvlText w:val="•"/>
      <w:lvlJc w:val="left"/>
      <w:pPr>
        <w:ind w:left="1246" w:hanging="286"/>
      </w:pPr>
      <w:rPr>
        <w:rFonts w:hint="default"/>
        <w:lang w:val="id" w:eastAsia="en-US" w:bidi="ar-SA"/>
      </w:rPr>
    </w:lvl>
    <w:lvl w:ilvl="2" w:tplc="FFFFFFFF">
      <w:numFmt w:val="bullet"/>
      <w:lvlText w:val="•"/>
      <w:lvlJc w:val="left"/>
      <w:pPr>
        <w:ind w:left="1927" w:hanging="286"/>
      </w:pPr>
      <w:rPr>
        <w:rFonts w:hint="default"/>
        <w:lang w:val="id" w:eastAsia="en-US" w:bidi="ar-SA"/>
      </w:rPr>
    </w:lvl>
    <w:lvl w:ilvl="3" w:tplc="FFFFFFFF">
      <w:numFmt w:val="bullet"/>
      <w:lvlText w:val="•"/>
      <w:lvlJc w:val="left"/>
      <w:pPr>
        <w:ind w:left="2608" w:hanging="286"/>
      </w:pPr>
      <w:rPr>
        <w:rFonts w:hint="default"/>
        <w:lang w:val="id" w:eastAsia="en-US" w:bidi="ar-SA"/>
      </w:rPr>
    </w:lvl>
    <w:lvl w:ilvl="4" w:tplc="FFFFFFFF">
      <w:numFmt w:val="bullet"/>
      <w:lvlText w:val="•"/>
      <w:lvlJc w:val="left"/>
      <w:pPr>
        <w:ind w:left="3289" w:hanging="286"/>
      </w:pPr>
      <w:rPr>
        <w:rFonts w:hint="default"/>
        <w:lang w:val="id" w:eastAsia="en-US" w:bidi="ar-SA"/>
      </w:rPr>
    </w:lvl>
    <w:lvl w:ilvl="5" w:tplc="FFFFFFFF">
      <w:numFmt w:val="bullet"/>
      <w:lvlText w:val="•"/>
      <w:lvlJc w:val="left"/>
      <w:pPr>
        <w:ind w:left="3970" w:hanging="286"/>
      </w:pPr>
      <w:rPr>
        <w:rFonts w:hint="default"/>
        <w:lang w:val="id" w:eastAsia="en-US" w:bidi="ar-SA"/>
      </w:rPr>
    </w:lvl>
    <w:lvl w:ilvl="6" w:tplc="FFFFFFFF">
      <w:numFmt w:val="bullet"/>
      <w:lvlText w:val="•"/>
      <w:lvlJc w:val="left"/>
      <w:pPr>
        <w:ind w:left="4651" w:hanging="286"/>
      </w:pPr>
      <w:rPr>
        <w:rFonts w:hint="default"/>
        <w:lang w:val="id" w:eastAsia="en-US" w:bidi="ar-SA"/>
      </w:rPr>
    </w:lvl>
    <w:lvl w:ilvl="7" w:tplc="FFFFFFFF">
      <w:numFmt w:val="bullet"/>
      <w:lvlText w:val="•"/>
      <w:lvlJc w:val="left"/>
      <w:pPr>
        <w:ind w:left="5332" w:hanging="286"/>
      </w:pPr>
      <w:rPr>
        <w:rFonts w:hint="default"/>
        <w:lang w:val="id" w:eastAsia="en-US" w:bidi="ar-SA"/>
      </w:rPr>
    </w:lvl>
    <w:lvl w:ilvl="8" w:tplc="FFFFFFFF">
      <w:numFmt w:val="bullet"/>
      <w:lvlText w:val="•"/>
      <w:lvlJc w:val="left"/>
      <w:pPr>
        <w:ind w:left="6013" w:hanging="286"/>
      </w:pPr>
      <w:rPr>
        <w:rFonts w:hint="default"/>
        <w:lang w:val="id" w:eastAsia="en-US" w:bidi="ar-SA"/>
      </w:rPr>
    </w:lvl>
  </w:abstractNum>
  <w:abstractNum w:abstractNumId="25" w15:restartNumberingAfterBreak="0">
    <w:nsid w:val="6D3A22B5"/>
    <w:multiLevelType w:val="hybridMultilevel"/>
    <w:tmpl w:val="5EE286C0"/>
    <w:lvl w:ilvl="0" w:tplc="E96EA432">
      <w:numFmt w:val="bullet"/>
      <w:lvlText w:val="•"/>
      <w:lvlJc w:val="left"/>
      <w:pPr>
        <w:ind w:left="417" w:hanging="133"/>
      </w:pPr>
      <w:rPr>
        <w:rFonts w:ascii="Microsoft Sans Serif" w:eastAsia="Microsoft Sans Serif" w:hAnsi="Microsoft Sans Serif" w:cs="Microsoft Sans Serif" w:hint="default"/>
        <w:b w:val="0"/>
        <w:bCs w:val="0"/>
        <w:i w:val="0"/>
        <w:iCs w:val="0"/>
        <w:color w:val="231F20"/>
        <w:spacing w:val="0"/>
        <w:w w:val="97"/>
        <w:sz w:val="16"/>
        <w:szCs w:val="16"/>
        <w:lang w:val="en-US" w:eastAsia="en-US" w:bidi="ar-SA"/>
      </w:rPr>
    </w:lvl>
    <w:lvl w:ilvl="1" w:tplc="93466AFC">
      <w:numFmt w:val="bullet"/>
      <w:lvlText w:val="•"/>
      <w:lvlJc w:val="left"/>
      <w:pPr>
        <w:ind w:left="908" w:hanging="133"/>
      </w:pPr>
      <w:rPr>
        <w:rFonts w:hint="default"/>
        <w:lang w:val="en-US" w:eastAsia="en-US" w:bidi="ar-SA"/>
      </w:rPr>
    </w:lvl>
    <w:lvl w:ilvl="2" w:tplc="A3B01C9E">
      <w:numFmt w:val="bullet"/>
      <w:lvlText w:val="•"/>
      <w:lvlJc w:val="left"/>
      <w:pPr>
        <w:ind w:left="1397" w:hanging="133"/>
      </w:pPr>
      <w:rPr>
        <w:rFonts w:hint="default"/>
        <w:lang w:val="en-US" w:eastAsia="en-US" w:bidi="ar-SA"/>
      </w:rPr>
    </w:lvl>
    <w:lvl w:ilvl="3" w:tplc="5074D18A">
      <w:numFmt w:val="bullet"/>
      <w:lvlText w:val="•"/>
      <w:lvlJc w:val="left"/>
      <w:pPr>
        <w:ind w:left="1886" w:hanging="133"/>
      </w:pPr>
      <w:rPr>
        <w:rFonts w:hint="default"/>
        <w:lang w:val="en-US" w:eastAsia="en-US" w:bidi="ar-SA"/>
      </w:rPr>
    </w:lvl>
    <w:lvl w:ilvl="4" w:tplc="31CCDE6C">
      <w:numFmt w:val="bullet"/>
      <w:lvlText w:val="•"/>
      <w:lvlJc w:val="left"/>
      <w:pPr>
        <w:ind w:left="2375" w:hanging="133"/>
      </w:pPr>
      <w:rPr>
        <w:rFonts w:hint="default"/>
        <w:lang w:val="en-US" w:eastAsia="en-US" w:bidi="ar-SA"/>
      </w:rPr>
    </w:lvl>
    <w:lvl w:ilvl="5" w:tplc="51709A7C">
      <w:numFmt w:val="bullet"/>
      <w:lvlText w:val="•"/>
      <w:lvlJc w:val="left"/>
      <w:pPr>
        <w:ind w:left="2863" w:hanging="133"/>
      </w:pPr>
      <w:rPr>
        <w:rFonts w:hint="default"/>
        <w:lang w:val="en-US" w:eastAsia="en-US" w:bidi="ar-SA"/>
      </w:rPr>
    </w:lvl>
    <w:lvl w:ilvl="6" w:tplc="19B817FA">
      <w:numFmt w:val="bullet"/>
      <w:lvlText w:val="•"/>
      <w:lvlJc w:val="left"/>
      <w:pPr>
        <w:ind w:left="3352" w:hanging="133"/>
      </w:pPr>
      <w:rPr>
        <w:rFonts w:hint="default"/>
        <w:lang w:val="en-US" w:eastAsia="en-US" w:bidi="ar-SA"/>
      </w:rPr>
    </w:lvl>
    <w:lvl w:ilvl="7" w:tplc="10A87DC8">
      <w:numFmt w:val="bullet"/>
      <w:lvlText w:val="•"/>
      <w:lvlJc w:val="left"/>
      <w:pPr>
        <w:ind w:left="3841" w:hanging="133"/>
      </w:pPr>
      <w:rPr>
        <w:rFonts w:hint="default"/>
        <w:lang w:val="en-US" w:eastAsia="en-US" w:bidi="ar-SA"/>
      </w:rPr>
    </w:lvl>
    <w:lvl w:ilvl="8" w:tplc="EFA66FB0">
      <w:numFmt w:val="bullet"/>
      <w:lvlText w:val="•"/>
      <w:lvlJc w:val="left"/>
      <w:pPr>
        <w:ind w:left="4330" w:hanging="133"/>
      </w:pPr>
      <w:rPr>
        <w:rFonts w:hint="default"/>
        <w:lang w:val="en-US" w:eastAsia="en-US" w:bidi="ar-SA"/>
      </w:rPr>
    </w:lvl>
  </w:abstractNum>
  <w:abstractNum w:abstractNumId="26" w15:restartNumberingAfterBreak="0">
    <w:nsid w:val="74FA7653"/>
    <w:multiLevelType w:val="hybridMultilevel"/>
    <w:tmpl w:val="DCAE8462"/>
    <w:lvl w:ilvl="0" w:tplc="0C209B8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D8124A4"/>
    <w:multiLevelType w:val="hybridMultilevel"/>
    <w:tmpl w:val="870C7F58"/>
    <w:lvl w:ilvl="0" w:tplc="C8887C3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7E723803"/>
    <w:multiLevelType w:val="hybridMultilevel"/>
    <w:tmpl w:val="DA044978"/>
    <w:lvl w:ilvl="0" w:tplc="1658A16E">
      <w:start w:val="1"/>
      <w:numFmt w:val="decimal"/>
      <w:lvlText w:val="%1."/>
      <w:lvlJc w:val="left"/>
      <w:pPr>
        <w:ind w:left="1008" w:hanging="360"/>
      </w:pPr>
      <w:rPr>
        <w:rFonts w:hint="default"/>
        <w:b/>
        <w:bCs/>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5"/>
  </w:num>
  <w:num w:numId="2">
    <w:abstractNumId w:val="25"/>
  </w:num>
  <w:num w:numId="3">
    <w:abstractNumId w:val="21"/>
  </w:num>
  <w:num w:numId="4">
    <w:abstractNumId w:val="3"/>
  </w:num>
  <w:num w:numId="5">
    <w:abstractNumId w:val="11"/>
  </w:num>
  <w:num w:numId="6">
    <w:abstractNumId w:val="10"/>
  </w:num>
  <w:num w:numId="7">
    <w:abstractNumId w:val="18"/>
  </w:num>
  <w:num w:numId="8">
    <w:abstractNumId w:val="0"/>
  </w:num>
  <w:num w:numId="9">
    <w:abstractNumId w:val="14"/>
  </w:num>
  <w:num w:numId="10">
    <w:abstractNumId w:val="28"/>
  </w:num>
  <w:num w:numId="11">
    <w:abstractNumId w:val="19"/>
  </w:num>
  <w:num w:numId="12">
    <w:abstractNumId w:val="15"/>
  </w:num>
  <w:num w:numId="13">
    <w:abstractNumId w:val="8"/>
  </w:num>
  <w:num w:numId="14">
    <w:abstractNumId w:val="7"/>
  </w:num>
  <w:num w:numId="15">
    <w:abstractNumId w:val="20"/>
  </w:num>
  <w:num w:numId="16">
    <w:abstractNumId w:val="27"/>
  </w:num>
  <w:num w:numId="17">
    <w:abstractNumId w:val="13"/>
  </w:num>
  <w:num w:numId="18">
    <w:abstractNumId w:val="4"/>
  </w:num>
  <w:num w:numId="19">
    <w:abstractNumId w:val="16"/>
  </w:num>
  <w:num w:numId="20">
    <w:abstractNumId w:val="9"/>
  </w:num>
  <w:num w:numId="21">
    <w:abstractNumId w:val="12"/>
  </w:num>
  <w:num w:numId="22">
    <w:abstractNumId w:val="22"/>
  </w:num>
  <w:num w:numId="23">
    <w:abstractNumId w:val="6"/>
  </w:num>
  <w:num w:numId="24">
    <w:abstractNumId w:val="24"/>
  </w:num>
  <w:num w:numId="25">
    <w:abstractNumId w:val="26"/>
  </w:num>
  <w:num w:numId="26">
    <w:abstractNumId w:val="1"/>
  </w:num>
  <w:num w:numId="27">
    <w:abstractNumId w:val="2"/>
  </w:num>
  <w:num w:numId="28">
    <w:abstractNumId w:val="2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00"/>
    <w:rsid w:val="000478A0"/>
    <w:rsid w:val="0007677D"/>
    <w:rsid w:val="000A33BA"/>
    <w:rsid w:val="000C38A6"/>
    <w:rsid w:val="000C64AF"/>
    <w:rsid w:val="000E1817"/>
    <w:rsid w:val="00107F32"/>
    <w:rsid w:val="00141109"/>
    <w:rsid w:val="00167A0C"/>
    <w:rsid w:val="00172DC5"/>
    <w:rsid w:val="001865D7"/>
    <w:rsid w:val="00191362"/>
    <w:rsid w:val="001944DA"/>
    <w:rsid w:val="001948E2"/>
    <w:rsid w:val="001B21D9"/>
    <w:rsid w:val="001B56E7"/>
    <w:rsid w:val="002103E3"/>
    <w:rsid w:val="0023669F"/>
    <w:rsid w:val="002616BF"/>
    <w:rsid w:val="002701F2"/>
    <w:rsid w:val="00284071"/>
    <w:rsid w:val="00284C61"/>
    <w:rsid w:val="002870FD"/>
    <w:rsid w:val="002B57C5"/>
    <w:rsid w:val="002C06FD"/>
    <w:rsid w:val="002D7ED5"/>
    <w:rsid w:val="00307AB5"/>
    <w:rsid w:val="003121E6"/>
    <w:rsid w:val="003150E4"/>
    <w:rsid w:val="00323319"/>
    <w:rsid w:val="0032421B"/>
    <w:rsid w:val="003702DC"/>
    <w:rsid w:val="003A6BE8"/>
    <w:rsid w:val="003B38E3"/>
    <w:rsid w:val="003D1F60"/>
    <w:rsid w:val="003D30B9"/>
    <w:rsid w:val="003E6475"/>
    <w:rsid w:val="003F4540"/>
    <w:rsid w:val="00417D62"/>
    <w:rsid w:val="00450B9C"/>
    <w:rsid w:val="00485F82"/>
    <w:rsid w:val="00497697"/>
    <w:rsid w:val="004D2F64"/>
    <w:rsid w:val="004D6755"/>
    <w:rsid w:val="00524900"/>
    <w:rsid w:val="005332FA"/>
    <w:rsid w:val="005523FF"/>
    <w:rsid w:val="00570F05"/>
    <w:rsid w:val="005766FC"/>
    <w:rsid w:val="005803A6"/>
    <w:rsid w:val="00590D46"/>
    <w:rsid w:val="005B27E9"/>
    <w:rsid w:val="005D0DFF"/>
    <w:rsid w:val="005D590D"/>
    <w:rsid w:val="005F4BBA"/>
    <w:rsid w:val="00601888"/>
    <w:rsid w:val="00603276"/>
    <w:rsid w:val="006038DB"/>
    <w:rsid w:val="006158AF"/>
    <w:rsid w:val="00632E9F"/>
    <w:rsid w:val="00666459"/>
    <w:rsid w:val="0067000D"/>
    <w:rsid w:val="00682789"/>
    <w:rsid w:val="006855F1"/>
    <w:rsid w:val="007044C6"/>
    <w:rsid w:val="00727DFC"/>
    <w:rsid w:val="007A042C"/>
    <w:rsid w:val="007A6DC5"/>
    <w:rsid w:val="007D6A2B"/>
    <w:rsid w:val="007F576B"/>
    <w:rsid w:val="007F6599"/>
    <w:rsid w:val="00813FF0"/>
    <w:rsid w:val="00826490"/>
    <w:rsid w:val="008318E2"/>
    <w:rsid w:val="008357C7"/>
    <w:rsid w:val="00836BC8"/>
    <w:rsid w:val="00840A50"/>
    <w:rsid w:val="0085448F"/>
    <w:rsid w:val="00875D55"/>
    <w:rsid w:val="008839F2"/>
    <w:rsid w:val="008A310E"/>
    <w:rsid w:val="00901812"/>
    <w:rsid w:val="009864D6"/>
    <w:rsid w:val="009C5038"/>
    <w:rsid w:val="009D25A2"/>
    <w:rsid w:val="009E06FB"/>
    <w:rsid w:val="00A00A67"/>
    <w:rsid w:val="00A12DB5"/>
    <w:rsid w:val="00A1640B"/>
    <w:rsid w:val="00A1724F"/>
    <w:rsid w:val="00A30B70"/>
    <w:rsid w:val="00A452AD"/>
    <w:rsid w:val="00A45A89"/>
    <w:rsid w:val="00A53219"/>
    <w:rsid w:val="00A62320"/>
    <w:rsid w:val="00AD2B6B"/>
    <w:rsid w:val="00AD335F"/>
    <w:rsid w:val="00B02E0A"/>
    <w:rsid w:val="00B058FB"/>
    <w:rsid w:val="00B11D45"/>
    <w:rsid w:val="00B36A09"/>
    <w:rsid w:val="00B47E01"/>
    <w:rsid w:val="00B748E1"/>
    <w:rsid w:val="00B84A21"/>
    <w:rsid w:val="00BA7FBB"/>
    <w:rsid w:val="00BB4E0D"/>
    <w:rsid w:val="00BC122A"/>
    <w:rsid w:val="00BC4F17"/>
    <w:rsid w:val="00C03252"/>
    <w:rsid w:val="00C107D2"/>
    <w:rsid w:val="00C24C23"/>
    <w:rsid w:val="00C5721E"/>
    <w:rsid w:val="00C60F80"/>
    <w:rsid w:val="00C63603"/>
    <w:rsid w:val="00C86D9D"/>
    <w:rsid w:val="00C915AF"/>
    <w:rsid w:val="00CE5811"/>
    <w:rsid w:val="00CF330C"/>
    <w:rsid w:val="00D329D4"/>
    <w:rsid w:val="00D4083A"/>
    <w:rsid w:val="00D730CF"/>
    <w:rsid w:val="00D827CE"/>
    <w:rsid w:val="00DB0A41"/>
    <w:rsid w:val="00DE7835"/>
    <w:rsid w:val="00E12FC5"/>
    <w:rsid w:val="00E42240"/>
    <w:rsid w:val="00E47011"/>
    <w:rsid w:val="00E647B0"/>
    <w:rsid w:val="00E64B67"/>
    <w:rsid w:val="00E66B89"/>
    <w:rsid w:val="00ED59F5"/>
    <w:rsid w:val="00ED7583"/>
    <w:rsid w:val="00EF36DD"/>
    <w:rsid w:val="00EF4F81"/>
    <w:rsid w:val="00EF645C"/>
    <w:rsid w:val="00F20C90"/>
    <w:rsid w:val="00F32D24"/>
    <w:rsid w:val="00F41DB2"/>
    <w:rsid w:val="00F6091E"/>
    <w:rsid w:val="00F94F5E"/>
    <w:rsid w:val="00F97645"/>
    <w:rsid w:val="00FA4E8B"/>
    <w:rsid w:val="00FC2CE2"/>
    <w:rsid w:val="00FD3F76"/>
    <w:rsid w:val="00FF58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8C7AA"/>
  <w15:docId w15:val="{C1D1583C-6E62-40A7-B76B-5D3676FF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055" w:hanging="21"/>
      <w:outlineLvl w:val="0"/>
    </w:pPr>
    <w:rPr>
      <w:b/>
      <w:bCs/>
      <w:sz w:val="21"/>
      <w:szCs w:val="21"/>
    </w:rPr>
  </w:style>
  <w:style w:type="paragraph" w:styleId="Heading2">
    <w:name w:val="heading 2"/>
    <w:basedOn w:val="Normal"/>
    <w:uiPriority w:val="9"/>
    <w:unhideWhenUsed/>
    <w:qFormat/>
    <w:pPr>
      <w:outlineLvl w:val="1"/>
    </w:pPr>
    <w:rPr>
      <w:sz w:val="17"/>
      <w:szCs w:val="17"/>
    </w:rPr>
  </w:style>
  <w:style w:type="paragraph" w:styleId="Heading3">
    <w:name w:val="heading 3"/>
    <w:basedOn w:val="Normal"/>
    <w:next w:val="Normal"/>
    <w:link w:val="Heading3Char"/>
    <w:uiPriority w:val="9"/>
    <w:unhideWhenUsed/>
    <w:qFormat/>
    <w:rsid w:val="00B11D4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11D4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2"/>
      <w:jc w:val="center"/>
    </w:pPr>
    <w:rPr>
      <w:sz w:val="28"/>
      <w:szCs w:val="28"/>
    </w:rPr>
  </w:style>
  <w:style w:type="paragraph" w:styleId="ListParagraph">
    <w:name w:val="List Paragraph"/>
    <w:basedOn w:val="Normal"/>
    <w:link w:val="ListParagraphChar"/>
    <w:uiPriority w:val="1"/>
    <w:qFormat/>
    <w:pPr>
      <w:ind w:left="415" w:hanging="27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7011"/>
    <w:pPr>
      <w:tabs>
        <w:tab w:val="center" w:pos="4680"/>
        <w:tab w:val="right" w:pos="9360"/>
      </w:tabs>
    </w:pPr>
  </w:style>
  <w:style w:type="character" w:customStyle="1" w:styleId="HeaderChar">
    <w:name w:val="Header Char"/>
    <w:basedOn w:val="DefaultParagraphFont"/>
    <w:link w:val="Header"/>
    <w:uiPriority w:val="99"/>
    <w:rsid w:val="00E47011"/>
    <w:rPr>
      <w:rFonts w:ascii="Times New Roman" w:eastAsia="Times New Roman" w:hAnsi="Times New Roman" w:cs="Times New Roman"/>
    </w:rPr>
  </w:style>
  <w:style w:type="paragraph" w:styleId="Footer">
    <w:name w:val="footer"/>
    <w:basedOn w:val="Normal"/>
    <w:link w:val="FooterChar"/>
    <w:uiPriority w:val="99"/>
    <w:unhideWhenUsed/>
    <w:rsid w:val="00E47011"/>
    <w:pPr>
      <w:tabs>
        <w:tab w:val="center" w:pos="4680"/>
        <w:tab w:val="right" w:pos="9360"/>
      </w:tabs>
    </w:pPr>
  </w:style>
  <w:style w:type="character" w:customStyle="1" w:styleId="FooterChar">
    <w:name w:val="Footer Char"/>
    <w:basedOn w:val="DefaultParagraphFont"/>
    <w:link w:val="Footer"/>
    <w:uiPriority w:val="99"/>
    <w:rsid w:val="00E47011"/>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D2F64"/>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7A042C"/>
    <w:rPr>
      <w:sz w:val="16"/>
      <w:szCs w:val="16"/>
    </w:rPr>
  </w:style>
  <w:style w:type="paragraph" w:styleId="CommentText">
    <w:name w:val="annotation text"/>
    <w:basedOn w:val="Normal"/>
    <w:link w:val="CommentTextChar"/>
    <w:uiPriority w:val="99"/>
    <w:semiHidden/>
    <w:unhideWhenUsed/>
    <w:rsid w:val="007A042C"/>
    <w:rPr>
      <w:sz w:val="20"/>
      <w:szCs w:val="20"/>
    </w:rPr>
  </w:style>
  <w:style w:type="character" w:customStyle="1" w:styleId="CommentTextChar">
    <w:name w:val="Comment Text Char"/>
    <w:basedOn w:val="DefaultParagraphFont"/>
    <w:link w:val="CommentText"/>
    <w:uiPriority w:val="99"/>
    <w:semiHidden/>
    <w:rsid w:val="007A04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042C"/>
    <w:rPr>
      <w:b/>
      <w:bCs/>
    </w:rPr>
  </w:style>
  <w:style w:type="character" w:customStyle="1" w:styleId="CommentSubjectChar">
    <w:name w:val="Comment Subject Char"/>
    <w:basedOn w:val="CommentTextChar"/>
    <w:link w:val="CommentSubject"/>
    <w:uiPriority w:val="99"/>
    <w:semiHidden/>
    <w:rsid w:val="007A042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A042C"/>
    <w:rPr>
      <w:color w:val="0000FF" w:themeColor="hyperlink"/>
      <w:u w:val="single"/>
    </w:rPr>
  </w:style>
  <w:style w:type="character" w:customStyle="1" w:styleId="UnresolvedMention">
    <w:name w:val="Unresolved Mention"/>
    <w:basedOn w:val="DefaultParagraphFont"/>
    <w:uiPriority w:val="99"/>
    <w:semiHidden/>
    <w:unhideWhenUsed/>
    <w:rsid w:val="007A042C"/>
    <w:rPr>
      <w:color w:val="605E5C"/>
      <w:shd w:val="clear" w:color="auto" w:fill="E1DFDD"/>
    </w:rPr>
  </w:style>
  <w:style w:type="paragraph" w:styleId="BalloonText">
    <w:name w:val="Balloon Text"/>
    <w:basedOn w:val="Normal"/>
    <w:link w:val="BalloonTextChar"/>
    <w:uiPriority w:val="99"/>
    <w:semiHidden/>
    <w:unhideWhenUsed/>
    <w:rsid w:val="00210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3E3"/>
    <w:rPr>
      <w:rFonts w:ascii="Segoe UI" w:eastAsia="Times New Roman" w:hAnsi="Segoe UI" w:cs="Segoe UI"/>
      <w:sz w:val="18"/>
      <w:szCs w:val="18"/>
    </w:rPr>
  </w:style>
  <w:style w:type="character" w:customStyle="1" w:styleId="fontstyle01">
    <w:name w:val="fontstyle01"/>
    <w:basedOn w:val="DefaultParagraphFont"/>
    <w:rsid w:val="005766FC"/>
    <w:rPr>
      <w:rFonts w:ascii="SimplifiedArabic" w:hAnsi="SimplifiedArabic" w:hint="default"/>
      <w:b w:val="0"/>
      <w:bCs w:val="0"/>
      <w:i w:val="0"/>
      <w:iCs w:val="0"/>
      <w:color w:val="000000"/>
      <w:sz w:val="26"/>
      <w:szCs w:val="26"/>
    </w:rPr>
  </w:style>
  <w:style w:type="character" w:customStyle="1" w:styleId="ListParagraphChar">
    <w:name w:val="List Paragraph Char"/>
    <w:basedOn w:val="DefaultParagraphFont"/>
    <w:link w:val="ListParagraph"/>
    <w:uiPriority w:val="34"/>
    <w:rsid w:val="005766FC"/>
    <w:rPr>
      <w:rFonts w:ascii="Times New Roman" w:eastAsia="Times New Roman" w:hAnsi="Times New Roman" w:cs="Times New Roman"/>
    </w:rPr>
  </w:style>
  <w:style w:type="character" w:customStyle="1" w:styleId="ezkurwreuab5ozgtqnkl">
    <w:name w:val="ezkurwreuab5ozgtqnkl"/>
    <w:basedOn w:val="DefaultParagraphFont"/>
    <w:rsid w:val="005766FC"/>
  </w:style>
  <w:style w:type="table" w:styleId="TableGrid">
    <w:name w:val="Table Grid"/>
    <w:basedOn w:val="TableNormal"/>
    <w:uiPriority w:val="59"/>
    <w:rsid w:val="005766FC"/>
    <w:pPr>
      <w:widowControl/>
      <w:autoSpaceDE/>
      <w:autoSpaceDN/>
    </w:pPr>
    <w:rPr>
      <w:rFonts w:ascii="Times New Roman" w:eastAsia="Times New Roman" w:hAnsi="Times New Roman" w:cs="Simplified Arabic"/>
      <w:color w:val="000000"/>
      <w:sz w:val="24"/>
      <w:szCs w:val="24"/>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فاتحة1"/>
    <w:basedOn w:val="TableNormal"/>
    <w:uiPriority w:val="62"/>
    <w:rsid w:val="005766FC"/>
    <w:pPr>
      <w:widowControl/>
      <w:autoSpaceDE/>
      <w:autoSpaceDN/>
    </w:pPr>
    <w:rPr>
      <w:rFonts w:ascii="Simplified Arabic" w:hAnsi="Simplified Arabic" w:cs="Simplified Arabic"/>
      <w:color w:val="000000"/>
      <w:sz w:val="28"/>
      <w:szCs w:val="2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4-Accent2">
    <w:name w:val="Grid Table 4 Accent 2"/>
    <w:basedOn w:val="TableNormal"/>
    <w:uiPriority w:val="49"/>
    <w:rsid w:val="00B748E1"/>
    <w:pPr>
      <w:widowControl/>
      <w:autoSpaceDE/>
      <w:autoSpaceDN/>
    </w:pPr>
    <w:rPr>
      <w:rFonts w:ascii="Times New Roman" w:eastAsia="Times New Roman" w:hAnsi="Times New Roman" w:cs="Simplified Arabic"/>
      <w:color w:val="000000"/>
      <w:sz w:val="24"/>
      <w:szCs w:val="24"/>
      <w:lang w:val="en-CA" w:eastAsia="en-CA"/>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1">
    <w:name w:val="Plain Table 1"/>
    <w:basedOn w:val="TableNormal"/>
    <w:uiPriority w:val="41"/>
    <w:rsid w:val="00BC122A"/>
    <w:pPr>
      <w:widowControl/>
      <w:autoSpaceDE/>
      <w:autoSpaceDN/>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3702DC"/>
    <w:pPr>
      <w:widowControl/>
      <w:autoSpaceDE/>
      <w:autoSpaceDN/>
      <w:spacing w:before="100" w:beforeAutospacing="1" w:after="100" w:afterAutospacing="1"/>
    </w:pPr>
    <w:rPr>
      <w:sz w:val="24"/>
      <w:szCs w:val="24"/>
      <w:lang w:val="en-IN" w:eastAsia="en-IN" w:bidi="hi-IN"/>
    </w:rPr>
  </w:style>
  <w:style w:type="table" w:customStyle="1" w:styleId="TableNormal1">
    <w:name w:val="Table Normal1"/>
    <w:uiPriority w:val="2"/>
    <w:semiHidden/>
    <w:unhideWhenUsed/>
    <w:qFormat/>
    <w:rsid w:val="00CE5811"/>
    <w:tblPr>
      <w:tblInd w:w="0" w:type="dxa"/>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B11D4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11D45"/>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locked/>
    <w:rsid w:val="00BB4E0D"/>
    <w:rPr>
      <w:rFonts w:ascii="Times New Roman" w:eastAsia="Times New Roman" w:hAnsi="Times New Roman" w:cs="Times New Roman"/>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695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373B6-1D8C-4ADD-A9E3-1CB85EF2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3536</Words>
  <Characters>20160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 Patidar</dc:creator>
  <cp:lastModifiedBy>a</cp:lastModifiedBy>
  <cp:revision>79</cp:revision>
  <cp:lastPrinted>2025-03-12T04:39:00Z</cp:lastPrinted>
  <dcterms:created xsi:type="dcterms:W3CDTF">2025-12-17T09:21:00Z</dcterms:created>
  <dcterms:modified xsi:type="dcterms:W3CDTF">2026-03-01T14:41:00Z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2025-01-07T00:00:00Z</vt:filetime>
  </property>
  <property fmtid="{D5CDD505-2E9C-101B-9397-08002B2CF9AE}" pid="4" name="Producer">
    <vt:lpwstr>GPL Ghostscript 9.10</vt:lpwstr>
  </property>
  <property fmtid="{D5CDD505-2E9C-101B-9397-08002B2CF9AE}" pid="5" name="GrammarlyDocumentId">
    <vt:lpwstr>f501f774529c5fdb289e0e4487e9059db7b1b548381f835bbad6a4eb87d35d75</vt:lpwstr>
  </property>
</Properties>
</file>